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关于变更粤（2023）中山市不动产权第0017905号、粤（2023）中山市不动产权第0017906号、粤（2023)中山市不动产权第0017907号用地规划条件公示的通告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865" cy="2651125"/>
            <wp:effectExtent l="0" t="0" r="698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邓永安、邓汝洪、邓根洪住宅楼用地图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该宗地位于中山市南朗镇横门海富中路155号，不动产权证号为粤（2023）中山市不动产权第0017905号、粤（2023）中山市不动产权第0017906号、粤（2023)中山市不动产权第0017907号，证载土地用途为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住宅</w:t>
      </w:r>
      <w:r>
        <w:rPr>
          <w:rFonts w:hint="eastAsia" w:ascii="仿宋" w:hAnsi="仿宋" w:eastAsia="仿宋" w:cs="仿宋"/>
          <w:sz w:val="30"/>
          <w:szCs w:val="30"/>
        </w:rPr>
        <w:t>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262.20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邓永安、邓汝洪、邓根洪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我局已受理其申请，根据公开、公平、公正原则，现对该宗地规划条件变更进行公示，公示如下：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该用地位于《中山市南朗横门片区控制性详细规划（2021）</w:t>
      </w:r>
      <w:r>
        <w:rPr>
          <w:rFonts w:hint="eastAsia" w:ascii="仿宋" w:hAnsi="仿宋" w:eastAsia="仿宋" w:cs="仿宋"/>
          <w:sz w:val="30"/>
          <w:szCs w:val="30"/>
        </w:rPr>
        <w:t>》，为R2 二类居住用地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ABC2BC8"/>
    <w:rsid w:val="1C923177"/>
    <w:rsid w:val="366D0CEA"/>
    <w:rsid w:val="51421BC5"/>
    <w:rsid w:val="576D1C45"/>
    <w:rsid w:val="57FF5E44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李帝武</cp:lastModifiedBy>
  <dcterms:modified xsi:type="dcterms:W3CDTF">2024-05-09T07:30:33Z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