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36"/>
        <w:jc w:val="center"/>
        <w:rPr>
          <w:rFonts w:hint="eastAsia" w:ascii="方正小标宋简体" w:hAnsi="方正小标宋简体" w:eastAsia="方正小标宋简体" w:cs="方正小标宋简体"/>
          <w:color w:val="auto"/>
          <w:spacing w:val="-6"/>
          <w:sz w:val="44"/>
          <w:szCs w:val="44"/>
          <w:highlight w:val="none"/>
        </w:rPr>
      </w:pPr>
    </w:p>
    <w:p>
      <w:pPr>
        <w:ind w:firstLine="0"/>
        <w:jc w:val="center"/>
        <w:rPr>
          <w:rFonts w:ascii="方正小标宋简体" w:hAnsi="方正小标宋简体" w:eastAsia="方正小标宋简体" w:cs="方正小标宋简体"/>
          <w:color w:val="auto"/>
          <w:spacing w:val="-6"/>
          <w:sz w:val="44"/>
          <w:szCs w:val="44"/>
          <w:highlight w:val="none"/>
        </w:rPr>
      </w:pPr>
      <w:r>
        <w:rPr>
          <w:rFonts w:hint="eastAsia" w:ascii="方正小标宋简体" w:hAnsi="方正小标宋简体" w:eastAsia="方正小标宋简体" w:cs="方正小标宋简体"/>
          <w:color w:val="auto"/>
          <w:spacing w:val="-6"/>
          <w:sz w:val="44"/>
          <w:szCs w:val="44"/>
          <w:highlight w:val="none"/>
        </w:rPr>
        <w:t>神湾镇诚艺精工产业城（三期、四期）项目“工改工”宗地项目“三旧”改造方案</w:t>
      </w:r>
    </w:p>
    <w:p>
      <w:pPr>
        <w:jc w:val="center"/>
        <w:rPr>
          <w:rFonts w:ascii="方正小标宋简体" w:hAnsi="方正小标宋简体" w:eastAsia="方正小标宋简体" w:cs="方正小标宋简体"/>
          <w:color w:val="auto"/>
          <w:spacing w:val="-6"/>
          <w:sz w:val="44"/>
          <w:szCs w:val="44"/>
          <w:highlight w:val="none"/>
        </w:rPr>
      </w:pPr>
    </w:p>
    <w:p>
      <w:pPr>
        <w:widowControl/>
        <w:spacing w:line="574"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pacing w:val="-6"/>
          <w:szCs w:val="32"/>
          <w:highlight w:val="none"/>
        </w:rPr>
        <w:t>根据《中山市城市更新（“三旧”改造）专项规划（2020-2035年）》和《神湾镇南沙工业园区低效工业厂房城市更新A单元规划》</w:t>
      </w:r>
      <w:r>
        <w:rPr>
          <w:rFonts w:hint="default" w:ascii="Times New Roman" w:hAnsi="Times New Roman" w:eastAsia="仿宋_GB2312" w:cs="Times New Roman"/>
          <w:color w:val="auto"/>
          <w:szCs w:val="32"/>
          <w:highlight w:val="none"/>
        </w:rPr>
        <w:t>（中府函〔2022〕176号）</w:t>
      </w:r>
      <w:r>
        <w:rPr>
          <w:rFonts w:hint="default" w:ascii="Times New Roman" w:hAnsi="Times New Roman" w:eastAsia="仿宋_GB2312" w:cs="Times New Roman"/>
          <w:color w:val="auto"/>
          <w:spacing w:val="-6"/>
          <w:szCs w:val="32"/>
          <w:highlight w:val="none"/>
        </w:rPr>
        <w:t>，下称《单元规划》）及</w:t>
      </w:r>
      <w:r>
        <w:rPr>
          <w:rFonts w:ascii="Times New Roman" w:hAnsi="Times New Roman" w:eastAsia="仿宋_GB2312" w:cs="Times New Roman"/>
          <w:color w:val="auto"/>
          <w:szCs w:val="32"/>
          <w:highlight w:val="none"/>
        </w:rPr>
        <w:t>《中山市神湾镇南沙工业园片区（2102单元）D街区A-05-01等地块控制性详细规划局部调整（2024）》</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中府函〔2024〕59号</w:t>
      </w:r>
      <w:r>
        <w:rPr>
          <w:rFonts w:hint="eastAsia"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pacing w:val="-6"/>
          <w:szCs w:val="32"/>
          <w:highlight w:val="none"/>
        </w:rPr>
        <w:t>，神湾镇人民政府拟对位于外沙村福源路两侧的三宗分别登记在个人名下、</w:t>
      </w:r>
      <w:r>
        <w:rPr>
          <w:rFonts w:hint="default" w:ascii="Times New Roman" w:hAnsi="Times New Roman" w:eastAsia="仿宋_GB2312" w:cs="Times New Roman"/>
          <w:color w:val="auto"/>
          <w:kern w:val="0"/>
          <w:szCs w:val="32"/>
          <w:highlight w:val="none"/>
        </w:rPr>
        <w:t>用途为工业的国有建设用地进行改造</w:t>
      </w:r>
      <w:r>
        <w:rPr>
          <w:rFonts w:hint="default" w:ascii="Times New Roman" w:hAnsi="Times New Roman" w:eastAsia="仿宋_GB2312" w:cs="Times New Roman"/>
          <w:color w:val="auto"/>
          <w:spacing w:val="-6"/>
          <w:szCs w:val="32"/>
          <w:highlight w:val="none"/>
        </w:rPr>
        <w:t>，拟采取</w:t>
      </w:r>
      <w:r>
        <w:rPr>
          <w:rFonts w:hint="eastAsia" w:ascii="Times New Roman" w:hAnsi="Times New Roman" w:eastAsia="仿宋_GB2312" w:cs="Times New Roman"/>
          <w:color w:val="auto"/>
          <w:spacing w:val="-6"/>
          <w:szCs w:val="32"/>
          <w:highlight w:val="none"/>
          <w:lang w:val="en-US" w:eastAsia="zh-CN"/>
        </w:rPr>
        <w:t>单一主体归宗</w:t>
      </w:r>
      <w:r>
        <w:rPr>
          <w:rFonts w:hint="default" w:ascii="Times New Roman" w:hAnsi="Times New Roman" w:eastAsia="仿宋_GB2312" w:cs="Times New Roman"/>
          <w:color w:val="auto"/>
          <w:spacing w:val="-6"/>
          <w:szCs w:val="32"/>
          <w:highlight w:val="none"/>
        </w:rPr>
        <w:t>方式，由中山市诚艺工业投资有限公司作为</w:t>
      </w:r>
      <w:r>
        <w:rPr>
          <w:rFonts w:hint="eastAsia" w:ascii="Times New Roman" w:hAnsi="Times New Roman" w:eastAsia="仿宋_GB2312" w:cs="Times New Roman"/>
          <w:color w:val="auto"/>
          <w:spacing w:val="-6"/>
          <w:szCs w:val="32"/>
          <w:highlight w:val="none"/>
          <w:lang w:val="en-US" w:eastAsia="zh-CN"/>
        </w:rPr>
        <w:t>改造主</w:t>
      </w:r>
      <w:r>
        <w:rPr>
          <w:rFonts w:hint="default" w:ascii="Times New Roman" w:hAnsi="Times New Roman" w:eastAsia="仿宋_GB2312" w:cs="Times New Roman"/>
          <w:color w:val="auto"/>
          <w:spacing w:val="-6"/>
          <w:szCs w:val="32"/>
          <w:highlight w:val="none"/>
        </w:rPr>
        <w:t>体对归宗后土地实施全面改造。改造方案如下：</w:t>
      </w:r>
    </w:p>
    <w:p>
      <w:pPr>
        <w:pStyle w:val="2"/>
        <w:spacing w:line="574" w:lineRule="exact"/>
        <w:rPr>
          <w:b/>
          <w:bCs/>
          <w:color w:val="auto"/>
          <w:highlight w:val="none"/>
        </w:rPr>
      </w:pPr>
      <w:r>
        <w:rPr>
          <w:rFonts w:hint="eastAsia"/>
          <w:color w:val="auto"/>
          <w:highlight w:val="none"/>
        </w:rPr>
        <w:t>改造地块基本情况</w:t>
      </w:r>
    </w:p>
    <w:p>
      <w:pPr>
        <w:pStyle w:val="3"/>
        <w:numPr>
          <w:ilvl w:val="-1"/>
          <w:numId w:val="0"/>
        </w:numPr>
        <w:ind w:left="0" w:firstLine="616" w:firstLineChars="200"/>
        <w:rPr>
          <w:rFonts w:ascii="楷体" w:hAnsi="楷体" w:eastAsia="楷体" w:cs="楷体"/>
          <w:b w:val="0"/>
          <w:bCs w:val="0"/>
          <w:color w:val="auto"/>
          <w:spacing w:val="-6"/>
          <w:sz w:val="32"/>
          <w:highlight w:val="none"/>
        </w:rPr>
      </w:pPr>
      <w:r>
        <w:rPr>
          <w:rFonts w:hint="eastAsia" w:ascii="楷体" w:hAnsi="楷体" w:eastAsia="楷体" w:cs="楷体"/>
          <w:b w:val="0"/>
          <w:bCs w:val="0"/>
          <w:color w:val="auto"/>
          <w:spacing w:val="-6"/>
          <w:sz w:val="32"/>
          <w:highlight w:val="none"/>
          <w:lang w:eastAsia="zh-CN"/>
        </w:rPr>
        <w:t>（一）</w:t>
      </w:r>
      <w:r>
        <w:rPr>
          <w:rFonts w:hint="eastAsia" w:ascii="楷体" w:hAnsi="楷体" w:eastAsia="楷体" w:cs="楷体"/>
          <w:b w:val="0"/>
          <w:bCs w:val="0"/>
          <w:color w:val="auto"/>
          <w:spacing w:val="-6"/>
          <w:sz w:val="32"/>
          <w:highlight w:val="none"/>
        </w:rPr>
        <w:t>总体情况</w:t>
      </w:r>
    </w:p>
    <w:p>
      <w:pPr>
        <w:ind w:firstLine="720"/>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color w:val="auto"/>
          <w:spacing w:val="-6"/>
          <w:szCs w:val="32"/>
          <w:highlight w:val="none"/>
        </w:rPr>
        <w:t>改造</w:t>
      </w:r>
      <w:r>
        <w:rPr>
          <w:rFonts w:hint="eastAsia" w:ascii="Times New Roman" w:hAnsi="Times New Roman" w:eastAsia="仿宋_GB2312" w:cs="Times New Roman"/>
          <w:color w:val="auto"/>
          <w:spacing w:val="-6"/>
          <w:szCs w:val="32"/>
          <w:highlight w:val="none"/>
          <w:lang w:val="en-US" w:eastAsia="zh-CN"/>
        </w:rPr>
        <w:t>地块</w:t>
      </w:r>
      <w:r>
        <w:rPr>
          <w:rFonts w:hint="default" w:ascii="Times New Roman" w:hAnsi="Times New Roman" w:eastAsia="仿宋_GB2312" w:cs="Times New Roman"/>
          <w:color w:val="auto"/>
          <w:spacing w:val="-6"/>
          <w:szCs w:val="32"/>
          <w:highlight w:val="none"/>
        </w:rPr>
        <w:t>涉及</w:t>
      </w:r>
      <w:r>
        <w:rPr>
          <w:rFonts w:ascii="Times New Roman" w:hAnsi="Times New Roman" w:eastAsia="仿宋_GB2312" w:cs="Times New Roman"/>
          <w:color w:val="auto"/>
          <w:spacing w:val="-6"/>
          <w:szCs w:val="32"/>
          <w:highlight w:val="none"/>
        </w:rPr>
        <w:t>3</w:t>
      </w:r>
      <w:r>
        <w:rPr>
          <w:rFonts w:hint="default" w:ascii="Times New Roman" w:hAnsi="Times New Roman" w:eastAsia="仿宋_GB2312" w:cs="Times New Roman"/>
          <w:color w:val="auto"/>
          <w:spacing w:val="-6"/>
          <w:szCs w:val="32"/>
          <w:highlight w:val="none"/>
        </w:rPr>
        <w:t>宗土地，均位于神湾镇外沙村福源路两侧，北至农田，东临神湾大道，西侧及南侧均为现状厂房，总用地面积</w:t>
      </w:r>
      <w:r>
        <w:rPr>
          <w:rFonts w:ascii="Times New Roman" w:hAnsi="Times New Roman" w:eastAsia="仿宋_GB2312" w:cs="Times New Roman"/>
          <w:color w:val="auto"/>
          <w:spacing w:val="-6"/>
          <w:szCs w:val="32"/>
          <w:highlight w:val="none"/>
        </w:rPr>
        <w:t>6.676</w:t>
      </w:r>
      <w:r>
        <w:rPr>
          <w:rFonts w:hint="eastAsia" w:ascii="Times New Roman" w:hAnsi="Times New Roman" w:eastAsia="仿宋_GB2312" w:cs="Times New Roman"/>
          <w:color w:val="auto"/>
          <w:spacing w:val="-6"/>
          <w:szCs w:val="32"/>
          <w:highlight w:val="none"/>
          <w:lang w:val="en-US" w:eastAsia="zh-CN"/>
        </w:rPr>
        <w:t>3</w:t>
      </w:r>
      <w:r>
        <w:rPr>
          <w:rFonts w:hint="default" w:ascii="Times New Roman" w:hAnsi="Times New Roman" w:eastAsia="仿宋_GB2312" w:cs="Times New Roman"/>
          <w:color w:val="auto"/>
          <w:spacing w:val="-6"/>
          <w:szCs w:val="32"/>
          <w:highlight w:val="none"/>
        </w:rPr>
        <w:t>公顷（</w:t>
      </w:r>
      <w:r>
        <w:rPr>
          <w:rFonts w:ascii="Times New Roman" w:hAnsi="Times New Roman" w:eastAsia="仿宋_GB2312" w:cs="Times New Roman"/>
          <w:color w:val="auto"/>
          <w:spacing w:val="-6"/>
          <w:szCs w:val="32"/>
          <w:highlight w:val="none"/>
        </w:rPr>
        <w:t>66762.</w:t>
      </w:r>
      <w:r>
        <w:rPr>
          <w:rFonts w:hint="default" w:ascii="Times New Roman" w:hAnsi="Times New Roman" w:eastAsia="仿宋_GB2312" w:cs="Times New Roman"/>
          <w:color w:val="auto"/>
          <w:spacing w:val="-6"/>
          <w:szCs w:val="32"/>
          <w:highlight w:val="none"/>
        </w:rPr>
        <w:t>52平方米，折合约</w:t>
      </w:r>
      <w:r>
        <w:rPr>
          <w:rFonts w:ascii="Times New Roman" w:hAnsi="Times New Roman" w:eastAsia="仿宋_GB2312" w:cs="Times New Roman"/>
          <w:color w:val="auto"/>
          <w:spacing w:val="-6"/>
          <w:szCs w:val="32"/>
          <w:highlight w:val="none"/>
        </w:rPr>
        <w:t>100.14</w:t>
      </w:r>
      <w:r>
        <w:rPr>
          <w:rFonts w:hint="default" w:ascii="Times New Roman" w:hAnsi="Times New Roman" w:eastAsia="仿宋_GB2312" w:cs="Times New Roman"/>
          <w:color w:val="auto"/>
          <w:spacing w:val="-6"/>
          <w:szCs w:val="32"/>
          <w:highlight w:val="none"/>
        </w:rPr>
        <w:t>亩）。</w:t>
      </w:r>
    </w:p>
    <w:p>
      <w:pPr>
        <w:ind w:firstLine="616" w:firstLineChars="200"/>
        <w:rPr>
          <w:rFonts w:hint="default" w:ascii="Times New Roman" w:hAnsi="Times New Roman" w:eastAsia="仿宋_GB2312" w:cs="Times New Roman"/>
          <w:color w:val="auto"/>
          <w:spacing w:val="-6"/>
          <w:szCs w:val="32"/>
          <w:highlight w:val="none"/>
        </w:rPr>
      </w:pPr>
      <w:r>
        <w:rPr>
          <w:rFonts w:hint="default" w:ascii="Times New Roman" w:hAnsi="Times New Roman" w:eastAsia="仿宋_GB2312" w:cs="Times New Roman"/>
          <w:color w:val="auto"/>
          <w:spacing w:val="-6"/>
          <w:szCs w:val="32"/>
          <w:highlight w:val="none"/>
        </w:rPr>
        <w:t>其中，地块①（萧庆广地块）用地面积</w:t>
      </w:r>
      <w:r>
        <w:rPr>
          <w:rFonts w:ascii="Times New Roman" w:hAnsi="Times New Roman" w:eastAsia="仿宋_GB2312" w:cs="Times New Roman"/>
          <w:color w:val="auto"/>
          <w:spacing w:val="-6"/>
          <w:szCs w:val="32"/>
          <w:highlight w:val="none"/>
        </w:rPr>
        <w:t>4.0833</w:t>
      </w:r>
      <w:r>
        <w:rPr>
          <w:rFonts w:hint="default" w:ascii="Times New Roman" w:hAnsi="Times New Roman" w:eastAsia="仿宋_GB2312" w:cs="Times New Roman"/>
          <w:color w:val="auto"/>
          <w:spacing w:val="-6"/>
          <w:szCs w:val="32"/>
          <w:highlight w:val="none"/>
        </w:rPr>
        <w:t>公顷（</w:t>
      </w:r>
      <w:r>
        <w:rPr>
          <w:rFonts w:ascii="Times New Roman" w:hAnsi="Times New Roman" w:eastAsia="仿宋_GB2312" w:cs="Times New Roman"/>
          <w:color w:val="auto"/>
          <w:spacing w:val="-6"/>
          <w:szCs w:val="32"/>
          <w:highlight w:val="none"/>
        </w:rPr>
        <w:t>40833.</w:t>
      </w:r>
      <w:r>
        <w:rPr>
          <w:rFonts w:hint="default" w:ascii="Times New Roman" w:hAnsi="Times New Roman" w:eastAsia="仿宋_GB2312" w:cs="Times New Roman"/>
          <w:color w:val="auto"/>
          <w:spacing w:val="-6"/>
          <w:szCs w:val="32"/>
          <w:highlight w:val="none"/>
        </w:rPr>
        <w:t>40平方米，折合约</w:t>
      </w:r>
      <w:r>
        <w:rPr>
          <w:rFonts w:ascii="Times New Roman" w:hAnsi="Times New Roman" w:eastAsia="仿宋_GB2312" w:cs="Times New Roman"/>
          <w:color w:val="auto"/>
          <w:spacing w:val="-6"/>
          <w:szCs w:val="32"/>
          <w:highlight w:val="none"/>
        </w:rPr>
        <w:t>61.25</w:t>
      </w:r>
      <w:r>
        <w:rPr>
          <w:rFonts w:hint="default" w:ascii="Times New Roman" w:hAnsi="Times New Roman" w:eastAsia="仿宋_GB2312" w:cs="Times New Roman"/>
          <w:color w:val="auto"/>
          <w:spacing w:val="-6"/>
          <w:szCs w:val="32"/>
          <w:highlight w:val="none"/>
        </w:rPr>
        <w:t>亩）；地块②（林峰庆地块）用地面积</w:t>
      </w:r>
      <w:r>
        <w:rPr>
          <w:rFonts w:ascii="Times New Roman" w:hAnsi="Times New Roman" w:eastAsia="仿宋_GB2312" w:cs="Times New Roman"/>
          <w:color w:val="auto"/>
          <w:spacing w:val="-6"/>
          <w:szCs w:val="32"/>
          <w:highlight w:val="none"/>
        </w:rPr>
        <w:t>0.97</w:t>
      </w:r>
      <w:r>
        <w:rPr>
          <w:rFonts w:hint="eastAsia" w:ascii="Times New Roman" w:hAnsi="Times New Roman" w:eastAsia="仿宋_GB2312" w:cs="Times New Roman"/>
          <w:color w:val="auto"/>
          <w:spacing w:val="-6"/>
          <w:szCs w:val="32"/>
          <w:highlight w:val="none"/>
          <w:lang w:val="en-US" w:eastAsia="zh-CN"/>
        </w:rPr>
        <w:t>10</w:t>
      </w:r>
      <w:r>
        <w:rPr>
          <w:rFonts w:hint="default" w:ascii="Times New Roman" w:hAnsi="Times New Roman" w:eastAsia="仿宋_GB2312" w:cs="Times New Roman"/>
          <w:color w:val="auto"/>
          <w:spacing w:val="-6"/>
          <w:szCs w:val="32"/>
          <w:highlight w:val="none"/>
        </w:rPr>
        <w:t>公顷（</w:t>
      </w:r>
      <w:r>
        <w:rPr>
          <w:rFonts w:ascii="Times New Roman" w:hAnsi="Times New Roman" w:eastAsia="仿宋_GB2312" w:cs="Times New Roman"/>
          <w:color w:val="auto"/>
          <w:spacing w:val="-6"/>
          <w:szCs w:val="32"/>
          <w:highlight w:val="none"/>
        </w:rPr>
        <w:t>9709.</w:t>
      </w:r>
      <w:r>
        <w:rPr>
          <w:rFonts w:hint="default" w:ascii="Times New Roman" w:hAnsi="Times New Roman" w:eastAsia="仿宋_GB2312" w:cs="Times New Roman"/>
          <w:color w:val="auto"/>
          <w:spacing w:val="-6"/>
          <w:szCs w:val="32"/>
          <w:highlight w:val="none"/>
        </w:rPr>
        <w:t>50平方米，折合约</w:t>
      </w:r>
      <w:r>
        <w:rPr>
          <w:rFonts w:ascii="Times New Roman" w:hAnsi="Times New Roman" w:eastAsia="仿宋_GB2312" w:cs="Times New Roman"/>
          <w:color w:val="auto"/>
          <w:spacing w:val="-6"/>
          <w:szCs w:val="32"/>
          <w:highlight w:val="none"/>
        </w:rPr>
        <w:t>14.56</w:t>
      </w:r>
      <w:r>
        <w:rPr>
          <w:rFonts w:hint="default" w:ascii="Times New Roman" w:hAnsi="Times New Roman" w:eastAsia="仿宋_GB2312" w:cs="Times New Roman"/>
          <w:color w:val="auto"/>
          <w:spacing w:val="-6"/>
          <w:szCs w:val="32"/>
          <w:highlight w:val="none"/>
        </w:rPr>
        <w:t>亩）；地块③（林启安地块）用地面积为</w:t>
      </w:r>
      <w:r>
        <w:rPr>
          <w:rFonts w:ascii="Times New Roman" w:hAnsi="Times New Roman" w:eastAsia="仿宋_GB2312" w:cs="Times New Roman"/>
          <w:color w:val="auto"/>
          <w:spacing w:val="-6"/>
          <w:szCs w:val="32"/>
          <w:highlight w:val="none"/>
        </w:rPr>
        <w:t>1.6220</w:t>
      </w:r>
      <w:r>
        <w:rPr>
          <w:rFonts w:hint="default" w:ascii="Times New Roman" w:hAnsi="Times New Roman" w:eastAsia="仿宋_GB2312" w:cs="Times New Roman"/>
          <w:color w:val="auto"/>
          <w:spacing w:val="-6"/>
          <w:szCs w:val="32"/>
          <w:highlight w:val="none"/>
        </w:rPr>
        <w:t>公顷（</w:t>
      </w:r>
      <w:r>
        <w:rPr>
          <w:rFonts w:ascii="Times New Roman" w:hAnsi="Times New Roman" w:eastAsia="仿宋_GB2312" w:cs="Times New Roman"/>
          <w:color w:val="auto"/>
          <w:spacing w:val="-6"/>
          <w:szCs w:val="32"/>
          <w:highlight w:val="none"/>
        </w:rPr>
        <w:t>16219.62</w:t>
      </w:r>
      <w:r>
        <w:rPr>
          <w:rFonts w:hint="default" w:ascii="Times New Roman" w:hAnsi="Times New Roman" w:eastAsia="仿宋_GB2312" w:cs="Times New Roman"/>
          <w:color w:val="auto"/>
          <w:spacing w:val="-6"/>
          <w:szCs w:val="32"/>
          <w:highlight w:val="none"/>
        </w:rPr>
        <w:t>平方米，折合约</w:t>
      </w:r>
      <w:r>
        <w:rPr>
          <w:rFonts w:ascii="Times New Roman" w:hAnsi="Times New Roman" w:eastAsia="仿宋_GB2312" w:cs="Times New Roman"/>
          <w:color w:val="auto"/>
          <w:spacing w:val="-6"/>
          <w:szCs w:val="32"/>
          <w:highlight w:val="none"/>
        </w:rPr>
        <w:t>24.33</w:t>
      </w:r>
      <w:r>
        <w:rPr>
          <w:rFonts w:hint="default" w:ascii="Times New Roman" w:hAnsi="Times New Roman" w:eastAsia="仿宋_GB2312" w:cs="Times New Roman"/>
          <w:color w:val="auto"/>
          <w:spacing w:val="-6"/>
          <w:szCs w:val="32"/>
          <w:highlight w:val="none"/>
        </w:rPr>
        <w:t>亩）。</w:t>
      </w:r>
    </w:p>
    <w:p>
      <w:pPr>
        <w:ind w:firstLine="616" w:firstLineChars="200"/>
        <w:rPr>
          <w:rFonts w:hint="default" w:ascii="Times New Roman" w:hAnsi="Times New Roman" w:eastAsia="仿宋_GB2312" w:cs="Times New Roman"/>
          <w:color w:val="auto"/>
          <w:spacing w:val="-6"/>
          <w:szCs w:val="32"/>
          <w:highlight w:val="none"/>
        </w:rPr>
      </w:pPr>
    </w:p>
    <w:p>
      <w:pPr>
        <w:ind w:firstLine="616" w:firstLineChars="200"/>
        <w:jc w:val="center"/>
        <w:rPr>
          <w:color w:val="auto"/>
          <w:highlight w:val="none"/>
        </w:rPr>
      </w:pPr>
      <w:r>
        <w:rPr>
          <w:rFonts w:ascii="仿宋_GB2312" w:hAnsi="仿宋_GB2312" w:cs="仿宋_GB2312"/>
          <w:color w:val="auto"/>
          <w:spacing w:val="-6"/>
          <w:kern w:val="0"/>
          <w:szCs w:val="32"/>
          <w:highlight w:val="none"/>
        </w:rPr>
        <w:drawing>
          <wp:anchor distT="0" distB="0" distL="114300" distR="114300" simplePos="0" relativeHeight="251661312" behindDoc="0" locked="0" layoutInCell="1" allowOverlap="1">
            <wp:simplePos x="0" y="0"/>
            <wp:positionH relativeFrom="column">
              <wp:posOffset>644525</wp:posOffset>
            </wp:positionH>
            <wp:positionV relativeFrom="paragraph">
              <wp:posOffset>161925</wp:posOffset>
            </wp:positionV>
            <wp:extent cx="4096385" cy="4358640"/>
            <wp:effectExtent l="0" t="0" r="18415" b="3810"/>
            <wp:wrapTopAndBottom/>
            <wp:docPr id="5" name="图片 5" descr="C:/Users/Administrator/Desktop/11.j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11.jpg11"/>
                    <pic:cNvPicPr>
                      <a:picLocks noChangeAspect="1" noChangeArrowheads="1"/>
                    </pic:cNvPicPr>
                  </pic:nvPicPr>
                  <pic:blipFill>
                    <a:blip r:embed="rId7"/>
                    <a:srcRect l="23" r="23"/>
                    <a:stretch>
                      <a:fillRect/>
                    </a:stretch>
                  </pic:blipFill>
                  <pic:spPr>
                    <a:xfrm>
                      <a:off x="0" y="0"/>
                      <a:ext cx="4096385" cy="4358640"/>
                    </a:xfrm>
                    <a:prstGeom prst="rect">
                      <a:avLst/>
                    </a:prstGeom>
                    <a:noFill/>
                    <a:ln>
                      <a:noFill/>
                    </a:ln>
                  </pic:spPr>
                </pic:pic>
              </a:graphicData>
            </a:graphic>
          </wp:anchor>
        </w:drawing>
      </w:r>
      <w:r>
        <w:rPr>
          <w:rFonts w:hint="eastAsia" w:ascii="仿宋_GB2312" w:hAnsi="仿宋_GB2312" w:cs="仿宋_GB2312"/>
          <w:color w:val="auto"/>
          <w:spacing w:val="-6"/>
          <w:kern w:val="0"/>
          <w:szCs w:val="32"/>
          <w:highlight w:val="none"/>
        </w:rPr>
        <w:t>图1：改造宗地示意图</w:t>
      </w:r>
    </w:p>
    <w:p>
      <w:pPr>
        <w:pStyle w:val="3"/>
        <w:numPr>
          <w:ilvl w:val="-1"/>
          <w:numId w:val="0"/>
        </w:numPr>
        <w:adjustRightInd w:val="0"/>
        <w:snapToGrid w:val="0"/>
        <w:spacing w:line="574" w:lineRule="exact"/>
        <w:ind w:left="0" w:firstLine="616" w:firstLineChars="200"/>
        <w:rPr>
          <w:rFonts w:ascii="楷体" w:hAnsi="楷体" w:eastAsia="楷体" w:cs="楷体"/>
          <w:b w:val="0"/>
          <w:bCs w:val="0"/>
          <w:color w:val="auto"/>
          <w:spacing w:val="-6"/>
          <w:sz w:val="32"/>
          <w:highlight w:val="none"/>
        </w:rPr>
      </w:pPr>
      <w:r>
        <w:rPr>
          <w:rFonts w:hint="eastAsia" w:ascii="楷体" w:hAnsi="楷体" w:eastAsia="楷体" w:cs="楷体"/>
          <w:b w:val="0"/>
          <w:bCs w:val="0"/>
          <w:color w:val="auto"/>
          <w:spacing w:val="-6"/>
          <w:sz w:val="32"/>
          <w:highlight w:val="none"/>
          <w:lang w:eastAsia="zh-CN"/>
        </w:rPr>
        <w:t>（二）</w:t>
      </w:r>
      <w:r>
        <w:rPr>
          <w:rFonts w:hint="eastAsia" w:ascii="楷体" w:hAnsi="楷体" w:eastAsia="楷体" w:cs="楷体"/>
          <w:b w:val="0"/>
          <w:bCs w:val="0"/>
          <w:color w:val="auto"/>
          <w:spacing w:val="-6"/>
          <w:sz w:val="32"/>
          <w:highlight w:val="none"/>
        </w:rPr>
        <w:t>标图入库情况</w:t>
      </w:r>
    </w:p>
    <w:p>
      <w:pPr>
        <w:pStyle w:val="14"/>
        <w:snapToGrid w:val="0"/>
        <w:spacing w:line="574" w:lineRule="exact"/>
        <w:ind w:firstLine="640"/>
        <w:jc w:val="both"/>
        <w:rPr>
          <w:rFonts w:hint="default" w:ascii="Times New Roman" w:hAnsi="Times New Roman" w:eastAsia="仿宋_GB2312" w:cs="Times New Roman"/>
          <w:color w:val="auto"/>
          <w:spacing w:val="-6"/>
          <w:kern w:val="2"/>
          <w:sz w:val="32"/>
          <w:szCs w:val="32"/>
          <w:highlight w:val="none"/>
          <w:lang w:val="en-US" w:eastAsia="zh-CN"/>
        </w:rPr>
      </w:pPr>
      <w:r>
        <w:rPr>
          <w:rFonts w:hint="default" w:ascii="Times New Roman" w:hAnsi="Times New Roman" w:eastAsia="仿宋_GB2312" w:cs="Times New Roman"/>
          <w:color w:val="auto"/>
          <w:spacing w:val="-6"/>
          <w:kern w:val="2"/>
          <w:sz w:val="32"/>
          <w:szCs w:val="32"/>
          <w:highlight w:val="none"/>
          <w:lang w:val="en-US" w:eastAsia="zh-CN"/>
        </w:rPr>
        <w:t>本次纳入改造范围的改造主体地块面积为</w:t>
      </w:r>
      <w:r>
        <w:rPr>
          <w:rFonts w:ascii="Times New Roman" w:hAnsi="Times New Roman" w:eastAsia="仿宋_GB2312" w:cs="Times New Roman"/>
          <w:color w:val="auto"/>
          <w:spacing w:val="-6"/>
          <w:kern w:val="2"/>
          <w:sz w:val="32"/>
          <w:szCs w:val="32"/>
          <w:highlight w:val="none"/>
        </w:rPr>
        <w:t>6.6685</w:t>
      </w:r>
      <w:r>
        <w:rPr>
          <w:rFonts w:hint="default" w:ascii="Times New Roman" w:hAnsi="Times New Roman" w:eastAsia="仿宋_GB2312" w:cs="Times New Roman"/>
          <w:color w:val="auto"/>
          <w:spacing w:val="-6"/>
          <w:kern w:val="2"/>
          <w:sz w:val="32"/>
          <w:szCs w:val="32"/>
          <w:highlight w:val="none"/>
          <w:lang w:val="en-US" w:eastAsia="zh-CN"/>
        </w:rPr>
        <w:t>公顷（</w:t>
      </w:r>
      <w:r>
        <w:rPr>
          <w:rFonts w:ascii="Times New Roman" w:hAnsi="Times New Roman" w:eastAsia="仿宋_GB2312" w:cs="Times New Roman"/>
          <w:color w:val="auto"/>
          <w:spacing w:val="-6"/>
          <w:kern w:val="2"/>
          <w:sz w:val="32"/>
          <w:szCs w:val="32"/>
          <w:highlight w:val="none"/>
        </w:rPr>
        <w:t>66685.2</w:t>
      </w:r>
      <w:r>
        <w:rPr>
          <w:rFonts w:hint="default" w:ascii="Times New Roman" w:hAnsi="Times New Roman" w:eastAsia="仿宋_GB2312" w:cs="Times New Roman"/>
          <w:color w:val="auto"/>
          <w:spacing w:val="-6"/>
          <w:kern w:val="2"/>
          <w:sz w:val="32"/>
          <w:szCs w:val="32"/>
          <w:highlight w:val="none"/>
          <w:lang w:val="en-US" w:eastAsia="zh-CN"/>
        </w:rPr>
        <w:t>7</w:t>
      </w:r>
      <w:r>
        <w:rPr>
          <w:rFonts w:hint="default" w:ascii="Times New Roman" w:hAnsi="Times New Roman" w:eastAsia="仿宋_GB2312" w:cs="Times New Roman"/>
          <w:color w:val="auto"/>
          <w:spacing w:val="-6"/>
          <w:kern w:val="2"/>
          <w:sz w:val="32"/>
          <w:szCs w:val="32"/>
          <w:highlight w:val="none"/>
        </w:rPr>
        <w:t>平方米，折合约</w:t>
      </w:r>
      <w:r>
        <w:rPr>
          <w:rFonts w:ascii="Times New Roman" w:hAnsi="Times New Roman" w:eastAsia="仿宋_GB2312" w:cs="Times New Roman"/>
          <w:color w:val="auto"/>
          <w:spacing w:val="-6"/>
          <w:kern w:val="2"/>
          <w:sz w:val="32"/>
          <w:szCs w:val="32"/>
          <w:highlight w:val="none"/>
        </w:rPr>
        <w:t>100.03</w:t>
      </w:r>
      <w:r>
        <w:rPr>
          <w:rFonts w:hint="default" w:ascii="Times New Roman" w:hAnsi="Times New Roman" w:eastAsia="仿宋_GB2312" w:cs="Times New Roman"/>
          <w:color w:val="auto"/>
          <w:spacing w:val="-6"/>
          <w:kern w:val="2"/>
          <w:sz w:val="32"/>
          <w:szCs w:val="32"/>
          <w:highlight w:val="none"/>
        </w:rPr>
        <w:t>亩</w:t>
      </w:r>
      <w:r>
        <w:rPr>
          <w:rFonts w:hint="default" w:ascii="Times New Roman" w:hAnsi="Times New Roman" w:eastAsia="仿宋_GB2312" w:cs="Times New Roman"/>
          <w:color w:val="auto"/>
          <w:spacing w:val="-6"/>
          <w:kern w:val="2"/>
          <w:sz w:val="32"/>
          <w:szCs w:val="32"/>
          <w:highlight w:val="none"/>
          <w:lang w:val="en-US" w:eastAsia="zh-CN"/>
        </w:rPr>
        <w:t>）</w:t>
      </w:r>
      <w:r>
        <w:rPr>
          <w:rFonts w:hint="eastAsia" w:ascii="Times New Roman" w:hAnsi="Times New Roman" w:eastAsia="仿宋_GB2312" w:cs="Times New Roman"/>
          <w:color w:val="auto"/>
          <w:spacing w:val="-6"/>
          <w:kern w:val="2"/>
          <w:sz w:val="32"/>
          <w:szCs w:val="32"/>
          <w:highlight w:val="none"/>
          <w:lang w:val="en-US" w:eastAsia="zh-CN"/>
        </w:rPr>
        <w:t>，</w:t>
      </w:r>
      <w:r>
        <w:rPr>
          <w:rFonts w:hint="default" w:ascii="Times New Roman" w:hAnsi="Times New Roman" w:eastAsia="仿宋_GB2312" w:cs="Times New Roman"/>
          <w:color w:val="auto"/>
          <w:spacing w:val="-6"/>
          <w:kern w:val="2"/>
          <w:sz w:val="32"/>
          <w:szCs w:val="32"/>
          <w:highlight w:val="none"/>
          <w:lang w:val="en-US" w:eastAsia="zh-CN"/>
        </w:rPr>
        <w:t>其中：</w:t>
      </w:r>
    </w:p>
    <w:p>
      <w:pPr>
        <w:pStyle w:val="14"/>
        <w:snapToGrid w:val="0"/>
        <w:spacing w:line="574" w:lineRule="exact"/>
        <w:ind w:firstLine="640"/>
        <w:jc w:val="both"/>
        <w:rPr>
          <w:rFonts w:hint="default"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spacing w:val="-6"/>
          <w:kern w:val="2"/>
          <w:sz w:val="32"/>
          <w:szCs w:val="32"/>
          <w:highlight w:val="none"/>
        </w:rPr>
        <w:t>地块①于2023年12月纳入“三旧”标图入库，图斑编号44200071021</w:t>
      </w:r>
      <w:r>
        <w:rPr>
          <w:rFonts w:hint="default" w:ascii="Times New Roman" w:hAnsi="Times New Roman" w:eastAsia="仿宋_GB2312" w:cs="Times New Roman"/>
          <w:color w:val="auto"/>
          <w:spacing w:val="-6"/>
          <w:kern w:val="2"/>
          <w:sz w:val="32"/>
          <w:szCs w:val="32"/>
          <w:highlight w:val="none"/>
          <w:lang w:eastAsia="zh-CN"/>
        </w:rPr>
        <w:t>，</w:t>
      </w:r>
      <w:r>
        <w:rPr>
          <w:rFonts w:hint="default" w:ascii="Times New Roman" w:hAnsi="Times New Roman" w:eastAsia="仿宋_GB2312" w:cs="Times New Roman"/>
          <w:color w:val="auto"/>
          <w:spacing w:val="-6"/>
          <w:kern w:val="2"/>
          <w:sz w:val="32"/>
          <w:szCs w:val="32"/>
          <w:highlight w:val="none"/>
        </w:rPr>
        <w:t>图斑面积</w:t>
      </w:r>
      <w:r>
        <w:rPr>
          <w:rFonts w:hint="eastAsia" w:ascii="Times New Roman" w:hAnsi="Times New Roman" w:eastAsia="仿宋_GB2312" w:cs="Times New Roman"/>
          <w:color w:val="auto"/>
          <w:spacing w:val="-6"/>
          <w:kern w:val="2"/>
          <w:sz w:val="32"/>
          <w:szCs w:val="32"/>
          <w:highlight w:val="none"/>
          <w:lang w:eastAsia="zh-CN"/>
        </w:rPr>
        <w:t>为</w:t>
      </w:r>
      <w:r>
        <w:rPr>
          <w:rFonts w:hint="default" w:ascii="Times New Roman" w:hAnsi="Times New Roman" w:eastAsia="仿宋_GB2312" w:cs="Times New Roman"/>
          <w:color w:val="auto"/>
          <w:spacing w:val="-6"/>
          <w:kern w:val="2"/>
          <w:sz w:val="32"/>
          <w:szCs w:val="32"/>
          <w:highlight w:val="none"/>
        </w:rPr>
        <w:t>4.0756公顷（40756.15平方米，折合约61.13亩），</w:t>
      </w:r>
      <w:r>
        <w:rPr>
          <w:rFonts w:hint="default" w:ascii="Times New Roman" w:hAnsi="Times New Roman" w:eastAsia="仿宋_GB2312" w:cs="Times New Roman"/>
          <w:color w:val="auto"/>
          <w:spacing w:val="-6"/>
          <w:kern w:val="2"/>
          <w:sz w:val="32"/>
          <w:szCs w:val="32"/>
          <w:highlight w:val="none"/>
          <w:lang w:eastAsia="zh-CN"/>
        </w:rPr>
        <w:t>纳入本次改造范围；</w:t>
      </w:r>
      <w:r>
        <w:rPr>
          <w:rFonts w:hint="default" w:ascii="Times New Roman" w:hAnsi="Times New Roman" w:eastAsia="仿宋_GB2312" w:cs="Times New Roman"/>
          <w:color w:val="auto"/>
          <w:spacing w:val="-6"/>
          <w:kern w:val="2"/>
          <w:sz w:val="32"/>
          <w:szCs w:val="32"/>
          <w:highlight w:val="none"/>
        </w:rPr>
        <w:t>另有</w:t>
      </w:r>
      <w:r>
        <w:rPr>
          <w:rFonts w:hint="eastAsia" w:ascii="Times New Roman" w:hAnsi="Times New Roman" w:eastAsia="仿宋_GB2312" w:cs="Times New Roman"/>
          <w:color w:val="auto"/>
          <w:spacing w:val="-6"/>
          <w:kern w:val="2"/>
          <w:sz w:val="32"/>
          <w:szCs w:val="32"/>
          <w:highlight w:val="none"/>
        </w:rPr>
        <w:t>0.0077公顷（</w:t>
      </w:r>
      <w:r>
        <w:rPr>
          <w:rFonts w:ascii="Times New Roman" w:hAnsi="Times New Roman" w:eastAsia="仿宋_GB2312" w:cs="Times New Roman"/>
          <w:color w:val="auto"/>
          <w:spacing w:val="-6"/>
          <w:kern w:val="2"/>
          <w:sz w:val="32"/>
          <w:szCs w:val="32"/>
          <w:highlight w:val="none"/>
        </w:rPr>
        <w:t>77.25平方米</w:t>
      </w:r>
      <w:r>
        <w:rPr>
          <w:rFonts w:hint="eastAsia" w:ascii="Times New Roman" w:hAnsi="Times New Roman" w:eastAsia="仿宋_GB2312" w:cs="Times New Roman"/>
          <w:color w:val="auto"/>
          <w:spacing w:val="-6"/>
          <w:kern w:val="2"/>
          <w:sz w:val="32"/>
          <w:szCs w:val="32"/>
          <w:highlight w:val="none"/>
        </w:rPr>
        <w:t>，折合约0.1</w:t>
      </w:r>
      <w:r>
        <w:rPr>
          <w:rFonts w:hint="eastAsia" w:ascii="Times New Roman" w:hAnsi="Times New Roman" w:eastAsia="仿宋_GB2312" w:cs="Times New Roman"/>
          <w:color w:val="auto"/>
          <w:spacing w:val="-6"/>
          <w:kern w:val="2"/>
          <w:sz w:val="32"/>
          <w:szCs w:val="32"/>
          <w:highlight w:val="none"/>
          <w:lang w:val="en-US" w:eastAsia="zh-CN"/>
        </w:rPr>
        <w:t>1</w:t>
      </w:r>
      <w:r>
        <w:rPr>
          <w:rFonts w:hint="eastAsia" w:ascii="Times New Roman" w:hAnsi="Times New Roman" w:eastAsia="仿宋_GB2312" w:cs="Times New Roman"/>
          <w:color w:val="auto"/>
          <w:spacing w:val="-6"/>
          <w:kern w:val="2"/>
          <w:sz w:val="32"/>
          <w:szCs w:val="32"/>
          <w:highlight w:val="none"/>
        </w:rPr>
        <w:t>亩）</w:t>
      </w:r>
      <w:r>
        <w:rPr>
          <w:rFonts w:hint="default" w:ascii="Times New Roman" w:hAnsi="Times New Roman" w:eastAsia="仿宋_GB2312" w:cs="Times New Roman"/>
          <w:color w:val="auto"/>
          <w:spacing w:val="-6"/>
          <w:kern w:val="2"/>
          <w:sz w:val="32"/>
          <w:szCs w:val="32"/>
          <w:highlight w:val="none"/>
        </w:rPr>
        <w:t>用地未纳入“三旧”标图入库，不纳入本次改造范围。</w:t>
      </w:r>
    </w:p>
    <w:p>
      <w:pPr>
        <w:pStyle w:val="14"/>
        <w:snapToGrid w:val="0"/>
        <w:spacing w:line="574" w:lineRule="exact"/>
        <w:ind w:firstLine="640"/>
        <w:jc w:val="both"/>
        <w:rPr>
          <w:rFonts w:hint="default"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spacing w:val="-6"/>
          <w:kern w:val="2"/>
          <w:sz w:val="32"/>
          <w:szCs w:val="32"/>
          <w:highlight w:val="none"/>
        </w:rPr>
        <w:t>地块②正在办理“三旧”标图入库，图斑编号为44200071022，拟纳入标图入库图斑面积为0.9709公顷（9709.50平方米，折合约14.56亩</w:t>
      </w:r>
      <w:r>
        <w:rPr>
          <w:rFonts w:hint="default" w:ascii="Times New Roman" w:hAnsi="Times New Roman" w:eastAsia="仿宋_GB2312" w:cs="Times New Roman"/>
          <w:color w:val="auto"/>
          <w:spacing w:val="-6"/>
          <w:kern w:val="2"/>
          <w:sz w:val="32"/>
          <w:szCs w:val="32"/>
          <w:highlight w:val="none"/>
          <w:lang w:eastAsia="zh-CN"/>
        </w:rPr>
        <w:t>）</w:t>
      </w:r>
      <w:r>
        <w:rPr>
          <w:rFonts w:hint="default" w:ascii="Times New Roman" w:hAnsi="Times New Roman" w:eastAsia="仿宋_GB2312" w:cs="Times New Roman"/>
          <w:color w:val="auto"/>
          <w:spacing w:val="-6"/>
          <w:kern w:val="2"/>
          <w:sz w:val="32"/>
          <w:szCs w:val="32"/>
          <w:highlight w:val="none"/>
        </w:rPr>
        <w:t>。</w:t>
      </w:r>
    </w:p>
    <w:p>
      <w:pPr>
        <w:adjustRightInd w:val="0"/>
        <w:snapToGrid w:val="0"/>
        <w:ind w:firstLine="616"/>
        <w:rPr>
          <w:rFonts w:hint="default" w:ascii="Times New Roman" w:hAnsi="Times New Roman" w:eastAsia="仿宋_GB2312" w:cs="Times New Roman"/>
          <w:color w:val="auto"/>
          <w:spacing w:val="-6"/>
          <w:szCs w:val="32"/>
          <w:highlight w:val="none"/>
          <w:lang w:val="en-US" w:eastAsia="zh-CN"/>
        </w:rPr>
      </w:pPr>
      <w:r>
        <w:rPr>
          <w:rFonts w:hint="default" w:ascii="Times New Roman" w:hAnsi="Times New Roman" w:eastAsia="仿宋_GB2312" w:cs="Times New Roman"/>
          <w:color w:val="auto"/>
          <w:spacing w:val="-6"/>
          <w:szCs w:val="32"/>
          <w:highlight w:val="none"/>
        </w:rPr>
        <w:t>地块③ 正在办理“三旧”标图入库，图斑编号为44200071028，拟纳入标图入库面积图斑面积为1.6219公顷（16219.62平方米，折合约24.33亩</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color w:val="auto"/>
          <w:spacing w:val="-6"/>
          <w:szCs w:val="32"/>
          <w:highlight w:val="none"/>
        </w:rPr>
        <w:t>。</w:t>
      </w:r>
    </w:p>
    <w:p>
      <w:pPr>
        <w:pStyle w:val="3"/>
        <w:numPr>
          <w:ilvl w:val="-1"/>
          <w:numId w:val="0"/>
        </w:numPr>
        <w:adjustRightInd w:val="0"/>
        <w:snapToGrid w:val="0"/>
        <w:spacing w:line="574" w:lineRule="exact"/>
        <w:ind w:left="0" w:firstLine="616" w:firstLineChars="200"/>
        <w:rPr>
          <w:rFonts w:hint="default" w:ascii="楷体" w:hAnsi="楷体" w:eastAsia="楷体" w:cs="楷体"/>
          <w:b w:val="0"/>
          <w:bCs w:val="0"/>
          <w:color w:val="auto"/>
          <w:spacing w:val="-6"/>
          <w:sz w:val="32"/>
          <w:highlight w:val="none"/>
        </w:rPr>
      </w:pPr>
      <w:r>
        <w:rPr>
          <w:rFonts w:hint="default" w:ascii="楷体" w:hAnsi="楷体" w:eastAsia="楷体" w:cs="楷体"/>
          <w:b w:val="0"/>
          <w:bCs w:val="0"/>
          <w:color w:val="auto"/>
          <w:spacing w:val="-6"/>
          <w:sz w:val="32"/>
          <w:highlight w:val="none"/>
          <w:lang w:eastAsia="zh-CN"/>
        </w:rPr>
        <w:t>（三）</w:t>
      </w:r>
      <w:r>
        <w:rPr>
          <w:rFonts w:hint="default" w:ascii="楷体" w:hAnsi="楷体" w:eastAsia="楷体" w:cs="楷体"/>
          <w:b w:val="0"/>
          <w:bCs w:val="0"/>
          <w:color w:val="auto"/>
          <w:spacing w:val="-6"/>
          <w:sz w:val="32"/>
          <w:highlight w:val="none"/>
        </w:rPr>
        <w:t>权属情况</w:t>
      </w:r>
    </w:p>
    <w:p>
      <w:pPr>
        <w:pStyle w:val="14"/>
        <w:snapToGrid w:val="0"/>
        <w:spacing w:line="574" w:lineRule="exact"/>
        <w:ind w:firstLine="640"/>
        <w:jc w:val="both"/>
        <w:rPr>
          <w:rFonts w:hint="default"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spacing w:val="-6"/>
          <w:kern w:val="2"/>
          <w:sz w:val="32"/>
          <w:szCs w:val="32"/>
          <w:highlight w:val="none"/>
        </w:rPr>
        <w:t>改造</w:t>
      </w:r>
      <w:r>
        <w:rPr>
          <w:rFonts w:hint="eastAsia" w:ascii="Times New Roman" w:hAnsi="Times New Roman" w:eastAsia="仿宋_GB2312" w:cs="Times New Roman"/>
          <w:color w:val="auto"/>
          <w:spacing w:val="-6"/>
          <w:kern w:val="2"/>
          <w:sz w:val="32"/>
          <w:szCs w:val="32"/>
          <w:highlight w:val="none"/>
          <w:lang w:val="en-US" w:eastAsia="zh-CN"/>
        </w:rPr>
        <w:t>地块</w:t>
      </w:r>
      <w:r>
        <w:rPr>
          <w:rFonts w:hint="default" w:ascii="Times New Roman" w:hAnsi="Times New Roman" w:eastAsia="仿宋_GB2312" w:cs="Times New Roman"/>
          <w:color w:val="auto"/>
          <w:spacing w:val="-6"/>
          <w:kern w:val="2"/>
          <w:sz w:val="32"/>
          <w:szCs w:val="32"/>
          <w:highlight w:val="none"/>
        </w:rPr>
        <w:t>内涉及3宗</w:t>
      </w:r>
      <w:r>
        <w:rPr>
          <w:rFonts w:hint="eastAsia" w:ascii="Times New Roman" w:hAnsi="Times New Roman" w:eastAsia="仿宋_GB2312" w:cs="Times New Roman"/>
          <w:color w:val="auto"/>
          <w:spacing w:val="-6"/>
          <w:kern w:val="2"/>
          <w:sz w:val="32"/>
          <w:szCs w:val="32"/>
          <w:highlight w:val="none"/>
          <w:lang w:val="en-US" w:eastAsia="zh-CN"/>
        </w:rPr>
        <w:t>用地</w:t>
      </w:r>
      <w:r>
        <w:rPr>
          <w:rFonts w:hint="default" w:ascii="Times New Roman" w:hAnsi="Times New Roman" w:eastAsia="仿宋_GB2312" w:cs="Times New Roman"/>
          <w:color w:val="auto"/>
          <w:spacing w:val="-6"/>
          <w:kern w:val="2"/>
          <w:sz w:val="32"/>
          <w:szCs w:val="32"/>
          <w:highlight w:val="none"/>
        </w:rPr>
        <w:t>全部为国有建设用地，证载用途</w:t>
      </w:r>
      <w:r>
        <w:rPr>
          <w:rFonts w:hint="eastAsia" w:ascii="Times New Roman" w:hAnsi="Times New Roman" w:eastAsia="仿宋_GB2312" w:cs="Times New Roman"/>
          <w:color w:val="auto"/>
          <w:spacing w:val="-6"/>
          <w:kern w:val="2"/>
          <w:sz w:val="32"/>
          <w:szCs w:val="32"/>
          <w:highlight w:val="none"/>
          <w:lang w:val="en-US" w:eastAsia="zh-CN"/>
        </w:rPr>
        <w:t>均</w:t>
      </w:r>
      <w:r>
        <w:rPr>
          <w:rFonts w:hint="default" w:ascii="Times New Roman" w:hAnsi="Times New Roman" w:eastAsia="仿宋_GB2312" w:cs="Times New Roman"/>
          <w:color w:val="auto"/>
          <w:spacing w:val="-6"/>
          <w:kern w:val="2"/>
          <w:sz w:val="32"/>
          <w:szCs w:val="32"/>
          <w:highlight w:val="none"/>
        </w:rPr>
        <w:t xml:space="preserve">为工业，改造涉及的土地已经确权、登记。具体使用情况如下：          </w:t>
      </w:r>
    </w:p>
    <w:p>
      <w:pPr>
        <w:pStyle w:val="14"/>
        <w:snapToGrid w:val="0"/>
        <w:spacing w:line="574" w:lineRule="exact"/>
        <w:ind w:firstLine="640"/>
        <w:jc w:val="both"/>
        <w:rPr>
          <w:rFonts w:hint="default"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spacing w:val="-6"/>
          <w:kern w:val="2"/>
          <w:sz w:val="32"/>
          <w:szCs w:val="32"/>
          <w:highlight w:val="none"/>
        </w:rPr>
        <w:t>地块①不动产权证号</w:t>
      </w:r>
      <w:r>
        <w:rPr>
          <w:rFonts w:hint="eastAsia" w:ascii="Times New Roman" w:hAnsi="Times New Roman" w:eastAsia="仿宋_GB2312" w:cs="Times New Roman"/>
          <w:color w:val="auto"/>
          <w:spacing w:val="-6"/>
          <w:kern w:val="2"/>
          <w:sz w:val="32"/>
          <w:szCs w:val="32"/>
          <w:highlight w:val="none"/>
          <w:lang w:val="en-US" w:eastAsia="zh-CN"/>
        </w:rPr>
        <w:t>为</w:t>
      </w:r>
      <w:r>
        <w:rPr>
          <w:rFonts w:hint="default" w:ascii="Times New Roman" w:hAnsi="Times New Roman" w:eastAsia="仿宋_GB2312" w:cs="Times New Roman"/>
          <w:color w:val="auto"/>
          <w:spacing w:val="-6"/>
          <w:kern w:val="2"/>
          <w:sz w:val="32"/>
          <w:szCs w:val="32"/>
          <w:highlight w:val="none"/>
        </w:rPr>
        <w:t>粤（2023）</w:t>
      </w:r>
      <w:r>
        <w:rPr>
          <w:rFonts w:hint="eastAsia" w:ascii="Times New Roman" w:hAnsi="Times New Roman" w:eastAsia="仿宋_GB2312" w:cs="Times New Roman"/>
          <w:color w:val="auto"/>
          <w:spacing w:val="-6"/>
          <w:kern w:val="2"/>
          <w:sz w:val="32"/>
          <w:szCs w:val="32"/>
          <w:highlight w:val="none"/>
          <w:lang w:val="en-US" w:eastAsia="zh-CN"/>
        </w:rPr>
        <w:t>中山市</w:t>
      </w:r>
      <w:r>
        <w:rPr>
          <w:rFonts w:hint="default" w:ascii="Times New Roman" w:hAnsi="Times New Roman" w:eastAsia="仿宋_GB2312" w:cs="Times New Roman"/>
          <w:color w:val="auto"/>
          <w:spacing w:val="-6"/>
          <w:kern w:val="2"/>
          <w:sz w:val="32"/>
          <w:szCs w:val="32"/>
          <w:highlight w:val="none"/>
        </w:rPr>
        <w:t>不动产权第0054445号，为土地权利人萧庆广自2003年5月开始使用</w:t>
      </w:r>
      <w:r>
        <w:rPr>
          <w:rFonts w:hint="eastAsia" w:ascii="Times New Roman" w:hAnsi="Times New Roman" w:eastAsia="仿宋_GB2312" w:cs="Times New Roman"/>
          <w:color w:val="auto"/>
          <w:spacing w:val="-6"/>
          <w:kern w:val="2"/>
          <w:sz w:val="32"/>
          <w:szCs w:val="32"/>
          <w:highlight w:val="none"/>
          <w:lang w:eastAsia="zh-CN"/>
        </w:rPr>
        <w:t>；</w:t>
      </w:r>
    </w:p>
    <w:p>
      <w:pPr>
        <w:pStyle w:val="14"/>
        <w:snapToGrid w:val="0"/>
        <w:spacing w:line="574" w:lineRule="exact"/>
        <w:ind w:firstLine="640"/>
        <w:jc w:val="both"/>
        <w:rPr>
          <w:rFonts w:hint="eastAsia" w:ascii="Times New Roman" w:hAnsi="Times New Roman" w:eastAsia="仿宋_GB2312" w:cs="Times New Roman"/>
          <w:color w:val="auto"/>
          <w:spacing w:val="-6"/>
          <w:kern w:val="2"/>
          <w:sz w:val="32"/>
          <w:szCs w:val="32"/>
          <w:highlight w:val="none"/>
        </w:rPr>
      </w:pPr>
      <w:r>
        <w:rPr>
          <w:rFonts w:hint="default" w:ascii="Times New Roman" w:hAnsi="Times New Roman" w:eastAsia="仿宋_GB2312" w:cs="Times New Roman"/>
          <w:color w:val="auto"/>
          <w:spacing w:val="-6"/>
          <w:kern w:val="2"/>
          <w:sz w:val="32"/>
          <w:szCs w:val="32"/>
          <w:highlight w:val="none"/>
        </w:rPr>
        <w:t>地块②不动产权证号为粤（2024）中山市不动产权第0347350号，为土地权利人林峰庆自2002年1月开始使用</w:t>
      </w:r>
      <w:r>
        <w:rPr>
          <w:rFonts w:hint="eastAsia" w:ascii="Times New Roman" w:hAnsi="Times New Roman" w:eastAsia="仿宋_GB2312" w:cs="Times New Roman"/>
          <w:color w:val="auto"/>
          <w:spacing w:val="-6"/>
          <w:kern w:val="2"/>
          <w:sz w:val="32"/>
          <w:szCs w:val="32"/>
          <w:highlight w:val="none"/>
          <w:lang w:eastAsia="zh-CN"/>
        </w:rPr>
        <w:t>；</w:t>
      </w:r>
    </w:p>
    <w:p>
      <w:pPr>
        <w:adjustRightInd w:val="0"/>
        <w:snapToGrid w:val="0"/>
        <w:ind w:firstLine="640"/>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szCs w:val="32"/>
          <w:highlight w:val="none"/>
        </w:rPr>
        <w:t>地块③不动产权证号为粤（2024）中山市不动产第0414015</w:t>
      </w:r>
      <w:r>
        <w:rPr>
          <w:rFonts w:hint="eastAsia" w:ascii="Times New Roman" w:hAnsi="Times New Roman" w:eastAsia="仿宋_GB2312" w:cs="Times New Roman"/>
          <w:color w:val="auto"/>
          <w:spacing w:val="-6"/>
          <w:szCs w:val="32"/>
          <w:highlight w:val="none"/>
          <w:lang w:val="en-US" w:eastAsia="zh-CN"/>
        </w:rPr>
        <w:t>号</w:t>
      </w:r>
      <w:r>
        <w:rPr>
          <w:rFonts w:hint="default" w:ascii="Times New Roman" w:hAnsi="Times New Roman" w:eastAsia="仿宋_GB2312" w:cs="Times New Roman"/>
          <w:color w:val="auto"/>
          <w:spacing w:val="-6"/>
          <w:szCs w:val="32"/>
          <w:highlight w:val="none"/>
        </w:rPr>
        <w:t xml:space="preserve">，为土地权利人林启安自2003年1月开始使用。 </w:t>
      </w:r>
    </w:p>
    <w:p>
      <w:pPr>
        <w:pStyle w:val="3"/>
        <w:numPr>
          <w:ilvl w:val="-1"/>
          <w:numId w:val="0"/>
        </w:numPr>
        <w:adjustRightInd w:val="0"/>
        <w:snapToGrid w:val="0"/>
        <w:spacing w:line="574" w:lineRule="exact"/>
        <w:ind w:left="0" w:firstLine="616" w:firstLineChars="200"/>
        <w:rPr>
          <w:rFonts w:hint="default" w:ascii="楷体" w:hAnsi="楷体" w:eastAsia="楷体" w:cs="楷体"/>
          <w:b w:val="0"/>
          <w:bCs w:val="0"/>
          <w:color w:val="auto"/>
          <w:spacing w:val="-6"/>
          <w:sz w:val="32"/>
          <w:highlight w:val="none"/>
        </w:rPr>
      </w:pPr>
      <w:r>
        <w:rPr>
          <w:rFonts w:hint="default" w:ascii="楷体" w:hAnsi="楷体" w:eastAsia="楷体" w:cs="楷体"/>
          <w:b w:val="0"/>
          <w:bCs w:val="0"/>
          <w:color w:val="auto"/>
          <w:spacing w:val="-6"/>
          <w:sz w:val="32"/>
          <w:highlight w:val="none"/>
          <w:lang w:eastAsia="zh-CN"/>
        </w:rPr>
        <w:t>（四）</w:t>
      </w:r>
      <w:r>
        <w:rPr>
          <w:rFonts w:hint="default" w:ascii="楷体" w:hAnsi="楷体" w:eastAsia="楷体" w:cs="楷体"/>
          <w:b w:val="0"/>
          <w:bCs w:val="0"/>
          <w:color w:val="auto"/>
          <w:spacing w:val="-6"/>
          <w:sz w:val="32"/>
          <w:highlight w:val="none"/>
        </w:rPr>
        <w:t>土地现状情况</w:t>
      </w:r>
    </w:p>
    <w:p>
      <w:pPr>
        <w:adjustRightInd w:val="0"/>
        <w:snapToGrid w:val="0"/>
        <w:ind w:firstLine="616"/>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改造</w:t>
      </w:r>
      <w:r>
        <w:rPr>
          <w:rFonts w:hint="eastAsia" w:ascii="Times New Roman" w:hAnsi="Times New Roman" w:eastAsia="仿宋_GB2312" w:cs="Times New Roman"/>
          <w:color w:val="auto"/>
          <w:szCs w:val="32"/>
          <w:highlight w:val="none"/>
          <w:lang w:val="en-US" w:eastAsia="zh-CN"/>
        </w:rPr>
        <w:t>主体</w:t>
      </w:r>
      <w:r>
        <w:rPr>
          <w:rFonts w:hint="default" w:ascii="Times New Roman" w:hAnsi="Times New Roman" w:eastAsia="仿宋_GB2312" w:cs="Times New Roman"/>
          <w:color w:val="auto"/>
          <w:szCs w:val="32"/>
          <w:highlight w:val="none"/>
        </w:rPr>
        <w:t>地块“二调”及最新土地利用现状为建设用地</w:t>
      </w:r>
      <w:r>
        <w:rPr>
          <w:rFonts w:ascii="Times New Roman" w:hAnsi="Times New Roman" w:eastAsia="仿宋_GB2312" w:cs="Times New Roman"/>
          <w:color w:val="auto"/>
          <w:spacing w:val="-6"/>
          <w:kern w:val="2"/>
          <w:sz w:val="32"/>
          <w:szCs w:val="32"/>
          <w:highlight w:val="none"/>
        </w:rPr>
        <w:t>6.6685公顷（66685.2</w:t>
      </w:r>
      <w:r>
        <w:rPr>
          <w:rFonts w:hint="eastAsia" w:ascii="Times New Roman" w:hAnsi="Times New Roman" w:eastAsia="仿宋_GB2312" w:cs="Times New Roman"/>
          <w:color w:val="auto"/>
          <w:spacing w:val="-6"/>
          <w:kern w:val="2"/>
          <w:sz w:val="32"/>
          <w:szCs w:val="32"/>
          <w:highlight w:val="none"/>
          <w:lang w:val="en-US" w:eastAsia="zh-CN"/>
        </w:rPr>
        <w:t>7</w:t>
      </w:r>
      <w:r>
        <w:rPr>
          <w:rFonts w:ascii="Times New Roman" w:hAnsi="Times New Roman" w:eastAsia="仿宋_GB2312" w:cs="Times New Roman"/>
          <w:color w:val="auto"/>
          <w:spacing w:val="-6"/>
          <w:kern w:val="2"/>
          <w:sz w:val="32"/>
          <w:szCs w:val="32"/>
          <w:highlight w:val="none"/>
        </w:rPr>
        <w:t>平方米，折合约100.03亩</w:t>
      </w:r>
      <w:r>
        <w:rPr>
          <w:rFonts w:hint="eastAsia" w:ascii="Times New Roman" w:hAnsi="Times New Roman" w:eastAsia="仿宋_GB2312" w:cs="Times New Roman"/>
          <w:color w:val="auto"/>
          <w:spacing w:val="-6"/>
          <w:kern w:val="2"/>
          <w:sz w:val="32"/>
          <w:szCs w:val="32"/>
          <w:highlight w:val="none"/>
        </w:rPr>
        <w:t>）</w:t>
      </w:r>
      <w:r>
        <w:rPr>
          <w:rFonts w:hint="eastAsia" w:ascii="Times New Roman" w:hAnsi="Times New Roman" w:eastAsia="仿宋_GB2312" w:cs="Times New Roman"/>
          <w:color w:val="auto"/>
          <w:spacing w:val="-6"/>
          <w:kern w:val="2"/>
          <w:sz w:val="32"/>
          <w:szCs w:val="32"/>
          <w:highlight w:val="none"/>
          <w:lang w:eastAsia="zh-CN"/>
        </w:rPr>
        <w:t>，</w:t>
      </w:r>
      <w:r>
        <w:rPr>
          <w:rFonts w:hint="eastAsia" w:ascii="仿宋_GB2312" w:hAnsi="仿宋_GB2312" w:eastAsia="仿宋_GB2312" w:cs="仿宋_GB2312"/>
          <w:color w:val="auto"/>
          <w:spacing w:val="0"/>
          <w:kern w:val="0"/>
          <w:sz w:val="32"/>
          <w:szCs w:val="32"/>
          <w:highlight w:val="none"/>
          <w:u w:val="none"/>
          <w:lang w:eastAsia="zh-CN"/>
        </w:rPr>
        <w:t>不涉及现状农用地和未利用地</w:t>
      </w:r>
      <w:r>
        <w:rPr>
          <w:rFonts w:hint="default" w:ascii="Times New Roman" w:hAnsi="Times New Roman" w:eastAsia="仿宋_GB2312" w:cs="Times New Roman"/>
          <w:color w:val="auto"/>
          <w:szCs w:val="32"/>
          <w:highlight w:val="none"/>
        </w:rPr>
        <w:t>。改造地块现</w:t>
      </w:r>
      <w:r>
        <w:rPr>
          <w:rFonts w:hint="eastAsia" w:ascii="Times New Roman" w:hAnsi="Times New Roman" w:eastAsia="仿宋_GB2312" w:cs="Times New Roman"/>
          <w:color w:val="auto"/>
          <w:szCs w:val="32"/>
          <w:highlight w:val="none"/>
          <w:lang w:eastAsia="zh-CN"/>
        </w:rPr>
        <w:t>共</w:t>
      </w:r>
      <w:r>
        <w:rPr>
          <w:rFonts w:hint="default" w:ascii="Times New Roman" w:hAnsi="Times New Roman" w:eastAsia="仿宋_GB2312" w:cs="Times New Roman"/>
          <w:color w:val="auto"/>
          <w:szCs w:val="32"/>
          <w:highlight w:val="none"/>
        </w:rPr>
        <w:t>有13栋建筑物，现有建筑面积22558.11平方米（</w:t>
      </w:r>
      <w:r>
        <w:rPr>
          <w:rFonts w:hint="eastAsia" w:ascii="Times New Roman" w:hAnsi="Times New Roman" w:eastAsia="仿宋_GB2312" w:cs="Times New Roman"/>
          <w:color w:val="auto"/>
          <w:szCs w:val="32"/>
          <w:highlight w:val="none"/>
          <w:lang w:val="en-US" w:eastAsia="zh-CN"/>
        </w:rPr>
        <w:t>已办理规划报建手续建筑面积20642.53</w:t>
      </w:r>
      <w:r>
        <w:rPr>
          <w:rFonts w:hint="default" w:ascii="Times New Roman" w:hAnsi="Times New Roman" w:eastAsia="仿宋_GB2312" w:cs="Times New Roman"/>
          <w:color w:val="auto"/>
          <w:szCs w:val="32"/>
          <w:highlight w:val="none"/>
          <w:lang w:val="en-US" w:eastAsia="zh-CN"/>
        </w:rPr>
        <w:t>平方米，未办理规划报建手续建筑面积1,915.58平方米</w:t>
      </w:r>
      <w:r>
        <w:rPr>
          <w:rFonts w:hint="default" w:ascii="Times New Roman" w:hAnsi="Times New Roman" w:eastAsia="仿宋_GB2312" w:cs="Times New Roman"/>
          <w:color w:val="auto"/>
          <w:szCs w:val="32"/>
          <w:highlight w:val="none"/>
        </w:rPr>
        <w:t>），现状容积率0.34，作工业厂房所用</w:t>
      </w:r>
      <w:r>
        <w:rPr>
          <w:rFonts w:hint="eastAsia"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该地块</w:t>
      </w:r>
      <w:r>
        <w:rPr>
          <w:rFonts w:hint="default" w:ascii="Times New Roman" w:hAnsi="Times New Roman" w:eastAsia="仿宋_GB2312" w:cs="Times New Roman"/>
          <w:color w:val="auto"/>
          <w:szCs w:val="32"/>
          <w:highlight w:val="none"/>
          <w:lang w:val="en-US" w:eastAsia="zh-CN"/>
        </w:rPr>
        <w:t>上盖建筑物</w:t>
      </w:r>
      <w:r>
        <w:rPr>
          <w:rFonts w:hint="default" w:ascii="Times New Roman" w:hAnsi="Times New Roman" w:eastAsia="仿宋_GB2312" w:cs="Times New Roman"/>
          <w:color w:val="auto"/>
          <w:szCs w:val="32"/>
          <w:highlight w:val="none"/>
        </w:rPr>
        <w:t>目前暂未拆除</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该地块</w:t>
      </w:r>
      <w:r>
        <w:rPr>
          <w:rFonts w:hint="default" w:ascii="Times New Roman" w:hAnsi="Times New Roman" w:eastAsia="仿宋_GB2312" w:cs="Times New Roman"/>
          <w:color w:val="auto"/>
          <w:szCs w:val="32"/>
          <w:highlight w:val="none"/>
        </w:rPr>
        <w:t>改造前年产值为5931万元</w:t>
      </w:r>
      <w:r>
        <w:rPr>
          <w:rFonts w:hint="default" w:ascii="Times New Roman" w:hAnsi="Times New Roman" w:eastAsia="仿宋_GB2312" w:cs="Times New Roman"/>
          <w:color w:val="auto"/>
          <w:szCs w:val="32"/>
          <w:highlight w:val="none"/>
          <w:lang w:eastAsia="zh-CN"/>
        </w:rPr>
        <w:t>（亩均</w:t>
      </w:r>
      <w:r>
        <w:rPr>
          <w:rFonts w:hint="eastAsia" w:ascii="Times New Roman" w:hAnsi="Times New Roman" w:eastAsia="仿宋_GB2312" w:cs="Times New Roman"/>
          <w:color w:val="auto"/>
          <w:szCs w:val="32"/>
          <w:highlight w:val="none"/>
          <w:lang w:val="en-US" w:eastAsia="zh-CN"/>
        </w:rPr>
        <w:t>59.23</w:t>
      </w:r>
      <w:r>
        <w:rPr>
          <w:rFonts w:hint="default" w:ascii="Times New Roman" w:hAnsi="Times New Roman" w:eastAsia="仿宋_GB2312" w:cs="Times New Roman"/>
          <w:color w:val="auto"/>
          <w:szCs w:val="32"/>
          <w:highlight w:val="none"/>
        </w:rPr>
        <w:t>万元</w:t>
      </w:r>
      <w:r>
        <w:rPr>
          <w:rFonts w:hint="eastAsia"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，年税收为229.41万元</w:t>
      </w:r>
      <w:r>
        <w:rPr>
          <w:rFonts w:hint="eastAsia" w:ascii="Times New Roman" w:hAnsi="Times New Roman" w:eastAsia="仿宋_GB2312" w:cs="Times New Roman"/>
          <w:color w:val="auto"/>
          <w:szCs w:val="32"/>
          <w:highlight w:val="none"/>
          <w:lang w:eastAsia="zh-CN"/>
        </w:rPr>
        <w:t>（亩均</w:t>
      </w:r>
      <w:r>
        <w:rPr>
          <w:rFonts w:hint="eastAsia" w:ascii="Times New Roman" w:hAnsi="Times New Roman" w:eastAsia="仿宋_GB2312" w:cs="Times New Roman"/>
          <w:color w:val="auto"/>
          <w:szCs w:val="32"/>
          <w:highlight w:val="none"/>
          <w:lang w:val="en-US" w:eastAsia="zh-CN"/>
        </w:rPr>
        <w:t>2.29</w:t>
      </w:r>
      <w:r>
        <w:rPr>
          <w:rFonts w:hint="default" w:ascii="Times New Roman" w:hAnsi="Times New Roman" w:eastAsia="仿宋_GB2312" w:cs="Times New Roman"/>
          <w:color w:val="auto"/>
          <w:szCs w:val="32"/>
          <w:highlight w:val="none"/>
        </w:rPr>
        <w:t>万元</w:t>
      </w:r>
      <w:r>
        <w:rPr>
          <w:rFonts w:hint="eastAsia"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 xml:space="preserve">。 </w:t>
      </w:r>
    </w:p>
    <w:p>
      <w:pPr>
        <w:adjustRightInd w:val="0"/>
        <w:snapToGrid w:val="0"/>
        <w:ind w:firstLine="616"/>
        <w:rPr>
          <w:rFonts w:hint="eastAsia" w:ascii="仿宋_GB2312" w:hAnsi="仿宋_GB2312" w:eastAsia="仿宋_GB2312" w:cs="仿宋_GB2312"/>
          <w:color w:val="auto"/>
          <w:spacing w:val="-6"/>
          <w:kern w:val="0"/>
          <w:szCs w:val="32"/>
          <w:highlight w:val="none"/>
        </w:rPr>
      </w:pPr>
      <w:r>
        <w:rPr>
          <w:rFonts w:hint="eastAsia" w:ascii="仿宋_GB2312" w:hAnsi="仿宋_GB2312" w:eastAsia="仿宋_GB2312" w:cs="仿宋_GB2312"/>
          <w:color w:val="auto"/>
          <w:spacing w:val="-6"/>
          <w:kern w:val="0"/>
          <w:szCs w:val="32"/>
          <w:highlight w:val="none"/>
        </w:rPr>
        <w:t>项目不涉闲置及抵押、查封、历史文化资源要素及土壤环境潜在监管地块等情况。</w:t>
      </w:r>
    </w:p>
    <w:p>
      <w:pPr>
        <w:pStyle w:val="3"/>
        <w:numPr>
          <w:ilvl w:val="-1"/>
          <w:numId w:val="0"/>
        </w:numPr>
        <w:adjustRightInd w:val="0"/>
        <w:snapToGrid w:val="0"/>
        <w:spacing w:line="574" w:lineRule="exact"/>
        <w:ind w:left="0" w:firstLine="616" w:firstLineChars="200"/>
        <w:rPr>
          <w:rFonts w:ascii="楷体" w:hAnsi="楷体" w:eastAsia="楷体" w:cs="楷体"/>
          <w:b w:val="0"/>
          <w:bCs w:val="0"/>
          <w:color w:val="auto"/>
          <w:spacing w:val="-6"/>
          <w:sz w:val="32"/>
          <w:highlight w:val="none"/>
        </w:rPr>
      </w:pPr>
      <w:r>
        <w:rPr>
          <w:rFonts w:hint="eastAsia" w:ascii="楷体" w:hAnsi="楷体" w:eastAsia="楷体" w:cs="楷体"/>
          <w:b w:val="0"/>
          <w:bCs w:val="0"/>
          <w:color w:val="auto"/>
          <w:spacing w:val="-6"/>
          <w:sz w:val="32"/>
          <w:highlight w:val="none"/>
          <w:lang w:eastAsia="zh-CN"/>
        </w:rPr>
        <w:t>（五）</w:t>
      </w:r>
      <w:r>
        <w:rPr>
          <w:rFonts w:hint="eastAsia" w:ascii="楷体" w:hAnsi="楷体" w:eastAsia="楷体" w:cs="楷体"/>
          <w:b w:val="0"/>
          <w:bCs w:val="0"/>
          <w:color w:val="auto"/>
          <w:spacing w:val="-6"/>
          <w:sz w:val="32"/>
          <w:highlight w:val="none"/>
        </w:rPr>
        <w:t>规划情况</w:t>
      </w:r>
    </w:p>
    <w:p>
      <w:pPr>
        <w:pStyle w:val="14"/>
        <w:snapToGrid w:val="0"/>
        <w:spacing w:line="574"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改造主</w:t>
      </w:r>
      <w:r>
        <w:rPr>
          <w:rFonts w:hint="eastAsia" w:ascii="Times New Roman" w:hAnsi="Times New Roman" w:eastAsia="仿宋_GB2312" w:cs="Times New Roman"/>
          <w:color w:val="auto"/>
          <w:kern w:val="2"/>
          <w:sz w:val="32"/>
          <w:szCs w:val="32"/>
          <w:highlight w:val="none"/>
          <w:lang w:val="en-US" w:eastAsia="zh-CN"/>
        </w:rPr>
        <w:t>体</w:t>
      </w:r>
      <w:r>
        <w:rPr>
          <w:rFonts w:hint="default" w:ascii="Times New Roman" w:hAnsi="Times New Roman" w:eastAsia="仿宋_GB2312" w:cs="Times New Roman"/>
          <w:color w:val="auto"/>
          <w:kern w:val="2"/>
          <w:sz w:val="32"/>
          <w:szCs w:val="32"/>
          <w:highlight w:val="none"/>
        </w:rPr>
        <w:t>地块符合国土空间总体规划、单元规划及现行控制性详细规划，已纳入《中山市城市更新（“三旧”改造）专项规划（2020-2035年）》（中府函〔2022〕414号）。改造主</w:t>
      </w:r>
      <w:r>
        <w:rPr>
          <w:rFonts w:hint="eastAsia" w:ascii="Times New Roman" w:hAnsi="Times New Roman" w:eastAsia="仿宋_GB2312" w:cs="Times New Roman"/>
          <w:color w:val="auto"/>
          <w:kern w:val="2"/>
          <w:sz w:val="32"/>
          <w:szCs w:val="32"/>
          <w:highlight w:val="none"/>
          <w:lang w:val="en-US" w:eastAsia="zh-CN"/>
        </w:rPr>
        <w:t>体</w:t>
      </w:r>
      <w:r>
        <w:rPr>
          <w:rFonts w:hint="default" w:ascii="Times New Roman" w:hAnsi="Times New Roman" w:eastAsia="仿宋_GB2312" w:cs="Times New Roman"/>
          <w:color w:val="auto"/>
          <w:kern w:val="2"/>
          <w:sz w:val="32"/>
          <w:szCs w:val="32"/>
          <w:highlight w:val="none"/>
        </w:rPr>
        <w:t>地块在</w:t>
      </w:r>
      <w:r>
        <w:rPr>
          <w:rFonts w:ascii="Times New Roman" w:hAnsi="Times New Roman" w:eastAsia="仿宋_GB2312" w:cs="Times New Roman"/>
          <w:color w:val="auto"/>
          <w:kern w:val="2"/>
          <w:sz w:val="32"/>
          <w:szCs w:val="32"/>
          <w:highlight w:val="none"/>
          <w:shd w:val="clear" w:color="auto" w:fill="auto"/>
        </w:rPr>
        <w:t>《中山市国土空间总体规划（2021—2035年）</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shd w:val="clear" w:color="auto" w:fill="auto"/>
        </w:rPr>
        <w:t>粤府函〔2023〕195号</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中</w:t>
      </w:r>
      <w:r>
        <w:rPr>
          <w:rFonts w:hint="eastAsia" w:ascii="Times New Roman" w:hAnsi="Times New Roman" w:eastAsia="仿宋_GB2312" w:cs="Times New Roman"/>
          <w:color w:val="auto"/>
          <w:kern w:val="2"/>
          <w:sz w:val="32"/>
          <w:szCs w:val="32"/>
          <w:highlight w:val="none"/>
          <w:lang w:val="en-US" w:eastAsia="zh-CN"/>
        </w:rPr>
        <w:t>为</w:t>
      </w:r>
      <w:r>
        <w:rPr>
          <w:rFonts w:hint="default" w:ascii="Times New Roman" w:hAnsi="Times New Roman" w:eastAsia="仿宋_GB2312" w:cs="Times New Roman"/>
          <w:color w:val="auto"/>
          <w:kern w:val="2"/>
          <w:sz w:val="32"/>
          <w:szCs w:val="32"/>
          <w:highlight w:val="none"/>
        </w:rPr>
        <w:t>城镇建设用地</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其面积为</w:t>
      </w:r>
      <w:r>
        <w:rPr>
          <w:rFonts w:hint="default" w:ascii="Times New Roman" w:hAnsi="Times New Roman" w:eastAsia="仿宋_GB2312" w:cs="Times New Roman"/>
          <w:color w:val="auto"/>
          <w:kern w:val="2"/>
          <w:sz w:val="32"/>
          <w:szCs w:val="32"/>
          <w:highlight w:val="none"/>
        </w:rPr>
        <w:t>6.6685公顷（66685.2</w:t>
      </w:r>
      <w:r>
        <w:rPr>
          <w:rFonts w:hint="eastAsia" w:ascii="Times New Roman" w:hAnsi="Times New Roman" w:eastAsia="仿宋_GB2312" w:cs="Times New Roman"/>
          <w:color w:val="auto"/>
          <w:kern w:val="2"/>
          <w:sz w:val="32"/>
          <w:szCs w:val="32"/>
          <w:highlight w:val="none"/>
          <w:lang w:val="en-US" w:eastAsia="zh-CN"/>
        </w:rPr>
        <w:t>7</w:t>
      </w:r>
      <w:r>
        <w:rPr>
          <w:rFonts w:hint="default" w:ascii="Times New Roman" w:hAnsi="Times New Roman" w:eastAsia="仿宋_GB2312" w:cs="Times New Roman"/>
          <w:color w:val="auto"/>
          <w:kern w:val="2"/>
          <w:sz w:val="32"/>
          <w:szCs w:val="32"/>
          <w:highlight w:val="none"/>
        </w:rPr>
        <w:t>平方米，折合约100.0</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亩）。改造主</w:t>
      </w:r>
      <w:r>
        <w:rPr>
          <w:rFonts w:hint="eastAsia" w:ascii="Times New Roman" w:hAnsi="Times New Roman" w:eastAsia="仿宋_GB2312" w:cs="Times New Roman"/>
          <w:color w:val="auto"/>
          <w:kern w:val="2"/>
          <w:sz w:val="32"/>
          <w:szCs w:val="32"/>
          <w:highlight w:val="none"/>
          <w:lang w:val="en-US" w:eastAsia="zh-CN"/>
        </w:rPr>
        <w:t>体</w:t>
      </w:r>
      <w:r>
        <w:rPr>
          <w:rFonts w:hint="default" w:ascii="Times New Roman" w:hAnsi="Times New Roman" w:eastAsia="仿宋_GB2312" w:cs="Times New Roman"/>
          <w:color w:val="auto"/>
          <w:kern w:val="2"/>
          <w:sz w:val="32"/>
          <w:szCs w:val="32"/>
          <w:highlight w:val="none"/>
        </w:rPr>
        <w:t>地块在《单元规划》及《中山市神湾镇南沙工业园片区（2102单元）D街区A-05-01等地块控制性详细规划局部调整（2024）》（中府函〔2024〕59号）中</w:t>
      </w:r>
      <w:r>
        <w:rPr>
          <w:rFonts w:hint="eastAsia" w:ascii="Times New Roman" w:hAnsi="Times New Roman" w:eastAsia="仿宋_GB2312" w:cs="Times New Roman"/>
          <w:color w:val="auto"/>
          <w:kern w:val="2"/>
          <w:sz w:val="32"/>
          <w:szCs w:val="32"/>
          <w:highlight w:val="none"/>
          <w:lang w:val="en-US" w:eastAsia="zh-CN"/>
        </w:rPr>
        <w:t>涉及</w:t>
      </w:r>
      <w:r>
        <w:rPr>
          <w:rFonts w:hint="default" w:ascii="Times New Roman" w:hAnsi="Times New Roman" w:eastAsia="仿宋_GB2312" w:cs="Times New Roman"/>
          <w:color w:val="auto"/>
          <w:kern w:val="2"/>
          <w:sz w:val="32"/>
          <w:szCs w:val="32"/>
          <w:highlight w:val="none"/>
        </w:rPr>
        <w:t>一类工业用地</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供电用地</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环卫用地</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加油加气站用地</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其中</w:t>
      </w:r>
      <w:r>
        <w:rPr>
          <w:rFonts w:hint="default" w:ascii="Times New Roman" w:hAnsi="Times New Roman" w:eastAsia="仿宋_GB2312" w:cs="Times New Roman"/>
          <w:color w:val="auto"/>
          <w:kern w:val="2"/>
          <w:sz w:val="32"/>
          <w:szCs w:val="32"/>
          <w:highlight w:val="none"/>
        </w:rPr>
        <w:t>一类工业用地</w:t>
      </w:r>
      <w:r>
        <w:rPr>
          <w:rFonts w:hint="eastAsia" w:ascii="Times New Roman" w:hAnsi="Times New Roman" w:eastAsia="仿宋_GB2312" w:cs="Times New Roman"/>
          <w:color w:val="auto"/>
          <w:kern w:val="2"/>
          <w:sz w:val="32"/>
          <w:szCs w:val="32"/>
          <w:highlight w:val="none"/>
          <w:lang w:val="en-US" w:eastAsia="zh-CN"/>
        </w:rPr>
        <w:t>面积为</w:t>
      </w:r>
      <w:r>
        <w:rPr>
          <w:rFonts w:hint="default" w:ascii="Times New Roman" w:hAnsi="Times New Roman" w:eastAsia="仿宋_GB2312" w:cs="Times New Roman"/>
          <w:color w:val="auto"/>
          <w:kern w:val="2"/>
          <w:sz w:val="32"/>
          <w:szCs w:val="32"/>
          <w:highlight w:val="none"/>
        </w:rPr>
        <w:t>5.6420公顷（56420.03平方米，折合约84.63亩），</w:t>
      </w:r>
      <w:r>
        <w:rPr>
          <w:rFonts w:hint="eastAsia" w:ascii="Times New Roman" w:hAnsi="Times New Roman" w:eastAsia="仿宋_GB2312" w:cs="Times New Roman"/>
          <w:color w:val="auto"/>
          <w:kern w:val="2"/>
          <w:sz w:val="32"/>
          <w:szCs w:val="32"/>
          <w:highlight w:val="none"/>
          <w:lang w:val="en-US" w:eastAsia="zh-CN"/>
        </w:rPr>
        <w:t>规划指标为</w:t>
      </w:r>
      <w:r>
        <w:rPr>
          <w:rFonts w:hint="default" w:ascii="Times New Roman" w:hAnsi="Times New Roman" w:eastAsia="仿宋_GB2312" w:cs="Times New Roman"/>
          <w:color w:val="auto"/>
          <w:kern w:val="2"/>
          <w:sz w:val="32"/>
          <w:szCs w:val="32"/>
          <w:highlight w:val="none"/>
        </w:rPr>
        <w:t>容积率1.0-3.5，建筑密度35%-60%，绿地率10%-15%，生产性建筑高度≤50米（特殊工艺除外），配套设施建筑高≤100米；供电用地</w:t>
      </w:r>
      <w:r>
        <w:rPr>
          <w:rFonts w:hint="eastAsia" w:ascii="Times New Roman" w:hAnsi="Times New Roman" w:eastAsia="仿宋_GB2312" w:cs="Times New Roman"/>
          <w:color w:val="auto"/>
          <w:kern w:val="2"/>
          <w:sz w:val="32"/>
          <w:szCs w:val="32"/>
          <w:highlight w:val="none"/>
          <w:lang w:val="en-US" w:eastAsia="zh-CN"/>
        </w:rPr>
        <w:t>面积为</w:t>
      </w:r>
      <w:r>
        <w:rPr>
          <w:rFonts w:hint="default" w:ascii="Times New Roman" w:hAnsi="Times New Roman" w:eastAsia="仿宋_GB2312" w:cs="Times New Roman"/>
          <w:color w:val="auto"/>
          <w:kern w:val="2"/>
          <w:sz w:val="32"/>
          <w:szCs w:val="32"/>
          <w:highlight w:val="none"/>
        </w:rPr>
        <w:t>0.3973公顷（3973.33平方米，折合约6.00亩），</w:t>
      </w:r>
      <w:r>
        <w:rPr>
          <w:rFonts w:hint="eastAsia" w:ascii="Times New Roman" w:hAnsi="Times New Roman" w:eastAsia="仿宋_GB2312" w:cs="Times New Roman"/>
          <w:color w:val="auto"/>
          <w:kern w:val="2"/>
          <w:sz w:val="32"/>
          <w:szCs w:val="32"/>
          <w:highlight w:val="none"/>
          <w:lang w:val="en-US" w:eastAsia="zh-CN"/>
        </w:rPr>
        <w:t>规划指标为</w:t>
      </w:r>
      <w:r>
        <w:rPr>
          <w:rFonts w:hint="default" w:ascii="Times New Roman" w:hAnsi="Times New Roman" w:eastAsia="仿宋_GB2312" w:cs="Times New Roman"/>
          <w:color w:val="auto"/>
          <w:kern w:val="2"/>
          <w:sz w:val="32"/>
          <w:szCs w:val="32"/>
          <w:highlight w:val="none"/>
        </w:rPr>
        <w:t>容积率1.2，建筑密度45%，绿地率15%，建筑高度≤30米；环卫用地</w:t>
      </w:r>
      <w:r>
        <w:rPr>
          <w:rFonts w:hint="eastAsia" w:ascii="Times New Roman" w:hAnsi="Times New Roman" w:eastAsia="仿宋_GB2312" w:cs="Times New Roman"/>
          <w:color w:val="auto"/>
          <w:kern w:val="2"/>
          <w:sz w:val="32"/>
          <w:szCs w:val="32"/>
          <w:highlight w:val="none"/>
          <w:lang w:val="en-US" w:eastAsia="zh-CN"/>
        </w:rPr>
        <w:t>面积为</w:t>
      </w:r>
      <w:r>
        <w:rPr>
          <w:rFonts w:hint="default" w:ascii="Times New Roman" w:hAnsi="Times New Roman" w:eastAsia="仿宋_GB2312" w:cs="Times New Roman"/>
          <w:color w:val="auto"/>
          <w:kern w:val="2"/>
          <w:sz w:val="32"/>
          <w:szCs w:val="32"/>
          <w:highlight w:val="none"/>
        </w:rPr>
        <w:t>0.0807公顷（807.10平方米，折合约1.21亩）；加油加气站用地</w:t>
      </w:r>
      <w:r>
        <w:rPr>
          <w:rFonts w:hint="eastAsia" w:ascii="Times New Roman" w:hAnsi="Times New Roman" w:eastAsia="仿宋_GB2312" w:cs="Times New Roman"/>
          <w:color w:val="auto"/>
          <w:kern w:val="2"/>
          <w:sz w:val="32"/>
          <w:szCs w:val="32"/>
          <w:highlight w:val="none"/>
          <w:lang w:val="en-US" w:eastAsia="zh-CN"/>
        </w:rPr>
        <w:t>面积为</w:t>
      </w:r>
      <w:r>
        <w:rPr>
          <w:rFonts w:hint="default" w:ascii="Times New Roman" w:hAnsi="Times New Roman" w:eastAsia="仿宋_GB2312" w:cs="Times New Roman"/>
          <w:color w:val="auto"/>
          <w:kern w:val="2"/>
          <w:sz w:val="32"/>
          <w:szCs w:val="32"/>
          <w:highlight w:val="none"/>
        </w:rPr>
        <w:t>0.0279公顷（279.01平方米，折合约0.42亩）；道路用地</w:t>
      </w:r>
      <w:r>
        <w:rPr>
          <w:rFonts w:hint="eastAsia" w:ascii="Times New Roman" w:hAnsi="Times New Roman" w:eastAsia="仿宋_GB2312" w:cs="Times New Roman"/>
          <w:color w:val="auto"/>
          <w:kern w:val="2"/>
          <w:sz w:val="32"/>
          <w:szCs w:val="32"/>
          <w:highlight w:val="none"/>
          <w:lang w:val="en-US" w:eastAsia="zh-CN"/>
        </w:rPr>
        <w:t>面积为</w:t>
      </w:r>
      <w:r>
        <w:rPr>
          <w:rFonts w:hint="default" w:ascii="Times New Roman" w:hAnsi="Times New Roman" w:eastAsia="仿宋_GB2312" w:cs="Times New Roman"/>
          <w:color w:val="auto"/>
          <w:kern w:val="2"/>
          <w:sz w:val="32"/>
          <w:szCs w:val="32"/>
          <w:highlight w:val="none"/>
        </w:rPr>
        <w:t xml:space="preserve">0.5206公顷（5205.79平方米，折合约7.81亩）。 </w:t>
      </w:r>
    </w:p>
    <w:p>
      <w:pPr>
        <w:adjustRightInd w:val="0"/>
        <w:snapToGrid w:val="0"/>
        <w:spacing w:line="574" w:lineRule="exact"/>
        <w:ind w:firstLine="641"/>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改造</w:t>
      </w:r>
      <w:r>
        <w:rPr>
          <w:rFonts w:hint="eastAsia" w:ascii="Times New Roman" w:hAnsi="Times New Roman" w:eastAsia="仿宋_GB2312" w:cs="Times New Roman"/>
          <w:color w:val="auto"/>
          <w:szCs w:val="32"/>
          <w:highlight w:val="none"/>
          <w:lang w:val="en-US" w:eastAsia="zh-CN"/>
        </w:rPr>
        <w:t>主体</w:t>
      </w:r>
      <w:r>
        <w:rPr>
          <w:rFonts w:hint="default" w:ascii="Times New Roman" w:hAnsi="Times New Roman" w:eastAsia="仿宋_GB2312" w:cs="Times New Roman"/>
          <w:color w:val="auto"/>
          <w:szCs w:val="32"/>
          <w:highlight w:val="none"/>
        </w:rPr>
        <w:t>地块不涉及到永久基本农田、生态保护红线；全部位于城镇开发边界内；</w:t>
      </w:r>
      <w:r>
        <w:rPr>
          <w:rFonts w:hint="eastAsia" w:ascii="Times New Roman" w:hAnsi="Times New Roman" w:eastAsia="仿宋_GB2312" w:cs="Times New Roman"/>
          <w:color w:val="auto"/>
          <w:szCs w:val="32"/>
          <w:highlight w:val="none"/>
          <w:lang w:val="en-US" w:eastAsia="zh-CN"/>
        </w:rPr>
        <w:t>其中</w:t>
      </w:r>
      <w:r>
        <w:rPr>
          <w:rFonts w:hint="eastAsia" w:ascii="Times New Roman" w:hAnsi="Times New Roman" w:eastAsia="仿宋_GB2312" w:cs="Times New Roman"/>
          <w:color w:val="auto"/>
          <w:szCs w:val="32"/>
          <w:highlight w:val="none"/>
        </w:rPr>
        <w:t>地块①</w:t>
      </w:r>
      <w:r>
        <w:rPr>
          <w:rFonts w:ascii="Times New Roman" w:hAnsi="Times New Roman" w:eastAsia="仿宋_GB2312" w:cs="Times New Roman"/>
          <w:color w:val="auto"/>
          <w:spacing w:val="-6"/>
          <w:szCs w:val="32"/>
          <w:highlight w:val="none"/>
        </w:rPr>
        <w:t>（萧庆广地块</w:t>
      </w:r>
      <w:r>
        <w:rPr>
          <w:rFonts w:hint="eastAsia" w:ascii="Times New Roman" w:hAnsi="Times New Roman" w:eastAsia="仿宋_GB2312" w:cs="Times New Roman"/>
          <w:color w:val="auto"/>
          <w:szCs w:val="32"/>
          <w:highlight w:val="none"/>
        </w:rPr>
        <w:t>）与地块②（林峰庆地块）</w:t>
      </w:r>
      <w:r>
        <w:rPr>
          <w:rFonts w:hint="default" w:ascii="Times New Roman" w:hAnsi="Times New Roman" w:eastAsia="仿宋_GB2312" w:cs="Times New Roman"/>
          <w:color w:val="auto"/>
          <w:szCs w:val="32"/>
          <w:highlight w:val="none"/>
        </w:rPr>
        <w:t xml:space="preserve">位于一级工业用地保护线范围内。 </w:t>
      </w:r>
    </w:p>
    <w:p>
      <w:pPr>
        <w:pStyle w:val="2"/>
        <w:adjustRightInd w:val="0"/>
        <w:snapToGrid w:val="0"/>
        <w:spacing w:line="574" w:lineRule="exact"/>
        <w:rPr>
          <w:b/>
          <w:bCs/>
          <w:color w:val="auto"/>
          <w:highlight w:val="none"/>
        </w:rPr>
      </w:pPr>
      <w:r>
        <w:rPr>
          <w:rFonts w:hint="eastAsia"/>
          <w:color w:val="auto"/>
          <w:highlight w:val="none"/>
        </w:rPr>
        <w:t>改造意愿及安置补偿情况</w:t>
      </w:r>
    </w:p>
    <w:p>
      <w:pPr>
        <w:pStyle w:val="3"/>
        <w:numPr>
          <w:ilvl w:val="-1"/>
          <w:numId w:val="0"/>
        </w:numPr>
        <w:adjustRightInd w:val="0"/>
        <w:snapToGrid w:val="0"/>
        <w:spacing w:line="574" w:lineRule="exact"/>
        <w:ind w:left="0" w:firstLine="616" w:firstLineChars="200"/>
        <w:rPr>
          <w:rFonts w:ascii="楷体" w:hAnsi="楷体" w:eastAsia="楷体" w:cs="楷体"/>
          <w:b w:val="0"/>
          <w:bCs w:val="0"/>
          <w:color w:val="auto"/>
          <w:spacing w:val="-6"/>
          <w:kern w:val="0"/>
          <w:sz w:val="32"/>
          <w:highlight w:val="none"/>
        </w:rPr>
      </w:pPr>
      <w:r>
        <w:rPr>
          <w:rFonts w:hint="eastAsia" w:ascii="楷体" w:hAnsi="楷体" w:eastAsia="楷体" w:cs="楷体"/>
          <w:b w:val="0"/>
          <w:bCs w:val="0"/>
          <w:color w:val="auto"/>
          <w:spacing w:val="-6"/>
          <w:kern w:val="0"/>
          <w:sz w:val="32"/>
          <w:highlight w:val="none"/>
          <w:lang w:eastAsia="zh-CN"/>
        </w:rPr>
        <w:t>（一）</w:t>
      </w:r>
      <w:r>
        <w:rPr>
          <w:rFonts w:hint="eastAsia" w:ascii="楷体" w:hAnsi="楷体" w:eastAsia="楷体" w:cs="楷体"/>
          <w:b w:val="0"/>
          <w:bCs w:val="0"/>
          <w:color w:val="auto"/>
          <w:spacing w:val="-6"/>
          <w:kern w:val="0"/>
          <w:sz w:val="32"/>
          <w:highlight w:val="none"/>
        </w:rPr>
        <w:t>改造意愿情况</w:t>
      </w:r>
    </w:p>
    <w:p>
      <w:pPr>
        <w:adjustRightInd w:val="0"/>
        <w:snapToGrid w:val="0"/>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改造</w:t>
      </w:r>
      <w:r>
        <w:rPr>
          <w:rFonts w:hint="eastAsia" w:ascii="Times New Roman" w:hAnsi="Times New Roman" w:eastAsia="仿宋_GB2312" w:cs="Times New Roman"/>
          <w:color w:val="auto"/>
          <w:spacing w:val="-6"/>
          <w:kern w:val="0"/>
          <w:szCs w:val="32"/>
          <w:highlight w:val="none"/>
          <w:lang w:val="en-US" w:eastAsia="zh-CN"/>
        </w:rPr>
        <w:t>地块</w:t>
      </w:r>
      <w:r>
        <w:rPr>
          <w:rFonts w:hint="default" w:ascii="Times New Roman" w:hAnsi="Times New Roman" w:eastAsia="仿宋_GB2312" w:cs="Times New Roman"/>
          <w:color w:val="auto"/>
          <w:spacing w:val="-6"/>
          <w:kern w:val="0"/>
          <w:szCs w:val="32"/>
          <w:highlight w:val="none"/>
        </w:rPr>
        <w:t xml:space="preserve">涉及萧庆广、林峰庆、林启安共3个权利主体，神湾镇人民政府已按照法律法规，就改造范围、土地现状、改造主体及拟改造情况、补偿安置方式及标准等事项征询涉及所有权利人改造意愿，3个权利主体均同意将涉及土地、房屋纳入改造范围。 </w:t>
      </w:r>
    </w:p>
    <w:p>
      <w:pPr>
        <w:pStyle w:val="3"/>
        <w:numPr>
          <w:ilvl w:val="-1"/>
          <w:numId w:val="0"/>
        </w:numPr>
        <w:adjustRightInd w:val="0"/>
        <w:snapToGrid w:val="0"/>
        <w:spacing w:line="574" w:lineRule="exact"/>
        <w:ind w:left="0" w:firstLine="616" w:firstLineChars="200"/>
        <w:rPr>
          <w:rFonts w:ascii="楷体" w:hAnsi="楷体" w:eastAsia="楷体" w:cs="楷体"/>
          <w:b w:val="0"/>
          <w:bCs w:val="0"/>
          <w:color w:val="auto"/>
          <w:spacing w:val="-6"/>
          <w:kern w:val="0"/>
          <w:sz w:val="32"/>
          <w:highlight w:val="none"/>
        </w:rPr>
      </w:pPr>
      <w:r>
        <w:rPr>
          <w:rFonts w:hint="eastAsia" w:ascii="楷体" w:hAnsi="楷体" w:eastAsia="楷体" w:cs="楷体"/>
          <w:b w:val="0"/>
          <w:bCs w:val="0"/>
          <w:color w:val="auto"/>
          <w:spacing w:val="-6"/>
          <w:kern w:val="0"/>
          <w:sz w:val="32"/>
          <w:highlight w:val="none"/>
          <w:lang w:eastAsia="zh-CN"/>
        </w:rPr>
        <w:t>（二）</w:t>
      </w:r>
      <w:r>
        <w:rPr>
          <w:rFonts w:hint="eastAsia" w:ascii="楷体" w:hAnsi="楷体" w:eastAsia="楷体" w:cs="楷体"/>
          <w:b w:val="0"/>
          <w:bCs w:val="0"/>
          <w:color w:val="auto"/>
          <w:spacing w:val="-6"/>
          <w:kern w:val="0"/>
          <w:sz w:val="32"/>
          <w:highlight w:val="none"/>
        </w:rPr>
        <w:t>补偿安置情况</w:t>
      </w:r>
    </w:p>
    <w:p>
      <w:pPr>
        <w:adjustRightInd w:val="0"/>
        <w:snapToGrid w:val="0"/>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改造主体中山市诚艺工业投资有限公司已制定补偿安置方案，明确采取货币补偿或货币补偿和物业补偿结合的方式对</w:t>
      </w:r>
      <w:r>
        <w:rPr>
          <w:rFonts w:hint="eastAsia" w:ascii="Times New Roman" w:hAnsi="Times New Roman" w:eastAsia="仿宋_GB2312" w:cs="Times New Roman"/>
          <w:color w:val="auto"/>
          <w:spacing w:val="-6"/>
          <w:kern w:val="0"/>
          <w:szCs w:val="32"/>
          <w:highlight w:val="none"/>
          <w:lang w:eastAsia="zh-CN"/>
        </w:rPr>
        <w:t>权利主体</w:t>
      </w:r>
      <w:r>
        <w:rPr>
          <w:rFonts w:hint="default" w:ascii="Times New Roman" w:hAnsi="Times New Roman" w:eastAsia="仿宋_GB2312" w:cs="Times New Roman"/>
          <w:color w:val="auto"/>
          <w:spacing w:val="-6"/>
          <w:kern w:val="0"/>
          <w:szCs w:val="32"/>
          <w:highlight w:val="none"/>
        </w:rPr>
        <w:t>进行补偿安置，具体补偿协议内容如下：</w:t>
      </w:r>
    </w:p>
    <w:p>
      <w:pPr>
        <w:adjustRightInd w:val="0"/>
        <w:snapToGrid w:val="0"/>
        <w:ind w:firstLine="616"/>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pacing w:val="-6"/>
          <w:kern w:val="0"/>
          <w:szCs w:val="32"/>
          <w:highlight w:val="none"/>
        </w:rPr>
        <w:t>地块①根据补偿协议，中山市诚艺工业投资有限公司与萧庆广明确采取货币补偿的方式对</w:t>
      </w:r>
      <w:r>
        <w:rPr>
          <w:rFonts w:hint="eastAsia" w:ascii="Times New Roman" w:hAnsi="Times New Roman" w:eastAsia="仿宋_GB2312" w:cs="Times New Roman"/>
          <w:color w:val="auto"/>
          <w:spacing w:val="-6"/>
          <w:kern w:val="0"/>
          <w:szCs w:val="32"/>
          <w:highlight w:val="none"/>
          <w:lang w:eastAsia="zh-CN"/>
        </w:rPr>
        <w:t>权利主体</w:t>
      </w:r>
      <w:r>
        <w:rPr>
          <w:rFonts w:hint="default" w:ascii="Times New Roman" w:hAnsi="Times New Roman" w:eastAsia="仿宋_GB2312" w:cs="Times New Roman"/>
          <w:color w:val="auto"/>
          <w:spacing w:val="-6"/>
          <w:kern w:val="0"/>
          <w:szCs w:val="32"/>
          <w:highlight w:val="none"/>
        </w:rPr>
        <w:t>的物业进行搬（拆）迁补偿。双方协商确定货币补偿价款总金额为人民币785</w:t>
      </w:r>
      <w:r>
        <w:rPr>
          <w:rFonts w:hint="eastAsia" w:ascii="Times New Roman" w:hAnsi="Times New Roman" w:eastAsia="仿宋_GB2312" w:cs="Times New Roman"/>
          <w:color w:val="auto"/>
          <w:spacing w:val="-6"/>
          <w:kern w:val="0"/>
          <w:szCs w:val="32"/>
          <w:highlight w:val="none"/>
          <w:lang w:eastAsia="zh-CN"/>
        </w:rPr>
        <w:t>0</w:t>
      </w:r>
      <w:r>
        <w:rPr>
          <w:rFonts w:hint="eastAsia" w:ascii="Times New Roman" w:hAnsi="Times New Roman" w:eastAsia="仿宋_GB2312" w:cs="Times New Roman"/>
          <w:color w:val="auto"/>
          <w:spacing w:val="-6"/>
          <w:kern w:val="0"/>
          <w:szCs w:val="32"/>
          <w:highlight w:val="none"/>
          <w:lang w:val="en-US" w:eastAsia="zh-CN"/>
        </w:rPr>
        <w:t>.8294</w:t>
      </w:r>
      <w:r>
        <w:rPr>
          <w:rFonts w:hint="default" w:ascii="Times New Roman" w:hAnsi="Times New Roman" w:eastAsia="仿宋_GB2312" w:cs="Times New Roman"/>
          <w:color w:val="auto"/>
          <w:spacing w:val="-6"/>
          <w:kern w:val="0"/>
          <w:szCs w:val="32"/>
          <w:highlight w:val="none"/>
        </w:rPr>
        <w:t>万元，双方确认该补偿价款已包括了</w:t>
      </w:r>
      <w:r>
        <w:rPr>
          <w:rFonts w:hint="eastAsia" w:ascii="Times New Roman" w:hAnsi="Times New Roman" w:eastAsia="仿宋_GB2312" w:cs="Times New Roman"/>
          <w:color w:val="auto"/>
          <w:spacing w:val="-6"/>
          <w:kern w:val="0"/>
          <w:szCs w:val="32"/>
          <w:highlight w:val="none"/>
          <w:lang w:eastAsia="zh-CN"/>
        </w:rPr>
        <w:t>权利主体</w:t>
      </w:r>
      <w:r>
        <w:rPr>
          <w:rFonts w:hint="default" w:ascii="Times New Roman" w:hAnsi="Times New Roman" w:eastAsia="仿宋_GB2312" w:cs="Times New Roman"/>
          <w:color w:val="auto"/>
          <w:spacing w:val="-6"/>
          <w:kern w:val="0"/>
          <w:szCs w:val="32"/>
          <w:highlight w:val="none"/>
        </w:rPr>
        <w:t>因本次搬（拆）迁应得的全部补偿、赔偿、补助等全部费用，改造主体不再就此次搬（拆）迁向</w:t>
      </w:r>
      <w:r>
        <w:rPr>
          <w:rFonts w:hint="eastAsia" w:ascii="Times New Roman" w:hAnsi="Times New Roman" w:eastAsia="仿宋_GB2312" w:cs="Times New Roman"/>
          <w:color w:val="auto"/>
          <w:spacing w:val="-6"/>
          <w:kern w:val="0"/>
          <w:szCs w:val="32"/>
          <w:highlight w:val="none"/>
          <w:lang w:eastAsia="zh-CN"/>
        </w:rPr>
        <w:t>权利主体</w:t>
      </w:r>
      <w:r>
        <w:rPr>
          <w:rFonts w:hint="default" w:ascii="Times New Roman" w:hAnsi="Times New Roman" w:eastAsia="仿宋_GB2312" w:cs="Times New Roman"/>
          <w:color w:val="auto"/>
          <w:spacing w:val="-6"/>
          <w:kern w:val="0"/>
          <w:szCs w:val="32"/>
          <w:highlight w:val="none"/>
        </w:rPr>
        <w:t xml:space="preserve">支付其它任何费用。目前已全部支付。 </w:t>
      </w:r>
    </w:p>
    <w:p>
      <w:pPr>
        <w:adjustRightInd w:val="0"/>
        <w:snapToGrid w:val="0"/>
        <w:ind w:firstLine="616"/>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地块②根据补偿协议中山市诚艺工业投资有限公司与林峰庆明确采取货币补偿的方式对</w:t>
      </w:r>
      <w:r>
        <w:rPr>
          <w:rFonts w:hint="eastAsia" w:ascii="Times New Roman" w:hAnsi="Times New Roman" w:eastAsia="仿宋_GB2312" w:cs="Times New Roman"/>
          <w:color w:val="auto"/>
          <w:szCs w:val="32"/>
          <w:highlight w:val="none"/>
          <w:lang w:eastAsia="zh-CN"/>
        </w:rPr>
        <w:t>权利主体</w:t>
      </w:r>
      <w:r>
        <w:rPr>
          <w:rFonts w:hint="default" w:ascii="Times New Roman" w:hAnsi="Times New Roman" w:eastAsia="仿宋_GB2312" w:cs="Times New Roman"/>
          <w:color w:val="auto"/>
          <w:szCs w:val="32"/>
          <w:highlight w:val="none"/>
        </w:rPr>
        <w:t>的物业进行搬（拆）迁补偿。双方协商确定货币补偿价款总金额为人民币2767</w:t>
      </w:r>
      <w:r>
        <w:rPr>
          <w:rFonts w:hint="eastAsia" w:ascii="Times New Roman" w:hAnsi="Times New Roman" w:eastAsia="仿宋_GB2312" w:cs="Times New Roman"/>
          <w:color w:val="auto"/>
          <w:szCs w:val="32"/>
          <w:highlight w:val="none"/>
          <w:lang w:val="en-US" w:eastAsia="zh-CN"/>
        </w:rPr>
        <w:t>.078</w:t>
      </w:r>
      <w:r>
        <w:rPr>
          <w:rFonts w:hint="default" w:ascii="Times New Roman" w:hAnsi="Times New Roman" w:eastAsia="仿宋_GB2312" w:cs="Times New Roman"/>
          <w:color w:val="auto"/>
          <w:szCs w:val="32"/>
          <w:highlight w:val="none"/>
        </w:rPr>
        <w:t>万元，双方确认该补偿价款已包括了</w:t>
      </w:r>
      <w:r>
        <w:rPr>
          <w:rFonts w:hint="eastAsia" w:ascii="Times New Roman" w:hAnsi="Times New Roman" w:eastAsia="仿宋_GB2312" w:cs="Times New Roman"/>
          <w:color w:val="auto"/>
          <w:szCs w:val="32"/>
          <w:highlight w:val="none"/>
          <w:lang w:eastAsia="zh-CN"/>
        </w:rPr>
        <w:t>权利主体</w:t>
      </w:r>
      <w:r>
        <w:rPr>
          <w:rFonts w:hint="default" w:ascii="Times New Roman" w:hAnsi="Times New Roman" w:eastAsia="仿宋_GB2312" w:cs="Times New Roman"/>
          <w:color w:val="auto"/>
          <w:szCs w:val="32"/>
          <w:highlight w:val="none"/>
        </w:rPr>
        <w:t>因本次搬（拆）迁应得的全部补偿、赔偿、补助等全部费用，改造主体不再就此次搬（拆）迁向</w:t>
      </w:r>
      <w:r>
        <w:rPr>
          <w:rFonts w:hint="eastAsia" w:ascii="Times New Roman" w:hAnsi="Times New Roman" w:eastAsia="仿宋_GB2312" w:cs="Times New Roman"/>
          <w:color w:val="auto"/>
          <w:szCs w:val="32"/>
          <w:highlight w:val="none"/>
          <w:lang w:eastAsia="zh-CN"/>
        </w:rPr>
        <w:t>权利主体</w:t>
      </w:r>
      <w:r>
        <w:rPr>
          <w:rFonts w:hint="default" w:ascii="Times New Roman" w:hAnsi="Times New Roman" w:eastAsia="仿宋_GB2312" w:cs="Times New Roman"/>
          <w:color w:val="auto"/>
          <w:szCs w:val="32"/>
          <w:highlight w:val="none"/>
        </w:rPr>
        <w:t>支付其它任何费用。目前已支付补偿款</w:t>
      </w:r>
      <w:r>
        <w:rPr>
          <w:rFonts w:hint="eastAsia" w:ascii="Times New Roman" w:hAnsi="Times New Roman" w:eastAsia="仿宋_GB2312" w:cs="Times New Roman"/>
          <w:color w:val="auto"/>
          <w:szCs w:val="32"/>
          <w:highlight w:val="none"/>
          <w:lang w:val="en-US" w:eastAsia="zh-CN"/>
        </w:rPr>
        <w:t>996.240199</w:t>
      </w:r>
      <w:r>
        <w:rPr>
          <w:rFonts w:hint="default" w:ascii="Times New Roman" w:hAnsi="Times New Roman" w:eastAsia="仿宋_GB2312" w:cs="Times New Roman"/>
          <w:color w:val="auto"/>
          <w:szCs w:val="32"/>
          <w:highlight w:val="none"/>
        </w:rPr>
        <w:t xml:space="preserve">万元，剩余1770.837801万元按照补偿协议约定支付。 </w:t>
      </w:r>
    </w:p>
    <w:p>
      <w:pPr>
        <w:adjustRightInd w:val="0"/>
        <w:snapToGrid w:val="0"/>
        <w:ind w:firstLine="616"/>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地块③根据补偿协议中山市诚艺工业投资有限公司与林启安明确采取货币补偿的方式对</w:t>
      </w:r>
      <w:r>
        <w:rPr>
          <w:rFonts w:hint="eastAsia" w:ascii="Times New Roman" w:hAnsi="Times New Roman" w:eastAsia="仿宋_GB2312" w:cs="Times New Roman"/>
          <w:color w:val="auto"/>
          <w:szCs w:val="32"/>
          <w:highlight w:val="none"/>
          <w:lang w:eastAsia="zh-CN"/>
        </w:rPr>
        <w:t>权利主体</w:t>
      </w:r>
      <w:r>
        <w:rPr>
          <w:rFonts w:hint="default" w:ascii="Times New Roman" w:hAnsi="Times New Roman" w:eastAsia="仿宋_GB2312" w:cs="Times New Roman"/>
          <w:color w:val="auto"/>
          <w:szCs w:val="32"/>
          <w:highlight w:val="none"/>
        </w:rPr>
        <w:t>的物业进行搬（拆）迁补偿。双方协商确定货币补偿价款总金额为人民币450</w:t>
      </w:r>
      <w:r>
        <w:rPr>
          <w:rFonts w:hint="eastAsia" w:ascii="Times New Roman" w:hAnsi="Times New Roman" w:eastAsia="仿宋_GB2312" w:cs="Times New Roman"/>
          <w:color w:val="auto"/>
          <w:szCs w:val="32"/>
          <w:highlight w:val="none"/>
          <w:lang w:eastAsia="zh-CN"/>
        </w:rPr>
        <w:t>5</w:t>
      </w:r>
      <w:r>
        <w:rPr>
          <w:rFonts w:hint="eastAsia" w:ascii="Times New Roman" w:hAnsi="Times New Roman" w:eastAsia="仿宋_GB2312" w:cs="Times New Roman"/>
          <w:color w:val="auto"/>
          <w:szCs w:val="32"/>
          <w:highlight w:val="none"/>
          <w:lang w:val="en-US" w:eastAsia="zh-CN"/>
        </w:rPr>
        <w:t>.77</w:t>
      </w:r>
      <w:r>
        <w:rPr>
          <w:rFonts w:hint="default" w:ascii="Times New Roman" w:hAnsi="Times New Roman" w:eastAsia="仿宋_GB2312" w:cs="Times New Roman"/>
          <w:color w:val="auto"/>
          <w:szCs w:val="32"/>
          <w:highlight w:val="none"/>
        </w:rPr>
        <w:t>万元，双方确认该补偿价款已包括了</w:t>
      </w:r>
      <w:r>
        <w:rPr>
          <w:rFonts w:hint="eastAsia" w:ascii="Times New Roman" w:hAnsi="Times New Roman" w:eastAsia="仿宋_GB2312" w:cs="Times New Roman"/>
          <w:color w:val="auto"/>
          <w:szCs w:val="32"/>
          <w:highlight w:val="none"/>
          <w:lang w:eastAsia="zh-CN"/>
        </w:rPr>
        <w:t>权利主体</w:t>
      </w:r>
      <w:r>
        <w:rPr>
          <w:rFonts w:hint="default" w:ascii="Times New Roman" w:hAnsi="Times New Roman" w:eastAsia="仿宋_GB2312" w:cs="Times New Roman"/>
          <w:color w:val="auto"/>
          <w:szCs w:val="32"/>
          <w:highlight w:val="none"/>
        </w:rPr>
        <w:t>因本次搬（拆）迁应得的全部补偿、赔偿、补助等全部费用，改造主体不再就此次搬（拆）迁向</w:t>
      </w:r>
      <w:r>
        <w:rPr>
          <w:rFonts w:hint="eastAsia" w:ascii="Times New Roman" w:hAnsi="Times New Roman" w:eastAsia="仿宋_GB2312" w:cs="Times New Roman"/>
          <w:color w:val="auto"/>
          <w:szCs w:val="32"/>
          <w:highlight w:val="none"/>
          <w:lang w:eastAsia="zh-CN"/>
        </w:rPr>
        <w:t>权利主体</w:t>
      </w:r>
      <w:r>
        <w:rPr>
          <w:rFonts w:hint="default" w:ascii="Times New Roman" w:hAnsi="Times New Roman" w:eastAsia="仿宋_GB2312" w:cs="Times New Roman"/>
          <w:color w:val="auto"/>
          <w:szCs w:val="32"/>
          <w:highlight w:val="none"/>
        </w:rPr>
        <w:t xml:space="preserve">支付其它任何费用。目前已支付补偿款1000万元，剩余3505.77万元按照补偿协议约定支付。 </w:t>
      </w:r>
    </w:p>
    <w:p>
      <w:pPr>
        <w:pStyle w:val="2"/>
        <w:adjustRightInd w:val="0"/>
        <w:snapToGrid w:val="0"/>
        <w:spacing w:line="574" w:lineRule="exact"/>
        <w:rPr>
          <w:b/>
          <w:bCs/>
          <w:color w:val="auto"/>
          <w:highlight w:val="none"/>
        </w:rPr>
      </w:pPr>
      <w:r>
        <w:rPr>
          <w:rFonts w:hint="eastAsia"/>
          <w:color w:val="auto"/>
          <w:highlight w:val="none"/>
        </w:rPr>
        <w:t>改造主体及拟改造情况</w:t>
      </w:r>
    </w:p>
    <w:p>
      <w:pPr>
        <w:adjustRightInd w:val="0"/>
        <w:snapToGrid w:val="0"/>
        <w:ind w:firstLine="616"/>
        <w:rPr>
          <w:rFonts w:hint="eastAsia" w:ascii="仿宋_GB2312" w:hAnsi="仿宋_GB2312" w:eastAsia="仿宋_GB2312" w:cs="仿宋_GB2312"/>
          <w:color w:val="auto"/>
          <w:spacing w:val="-6"/>
          <w:kern w:val="0"/>
          <w:szCs w:val="32"/>
          <w:highlight w:val="none"/>
        </w:rPr>
      </w:pPr>
      <w:r>
        <w:rPr>
          <w:rFonts w:hint="eastAsia" w:ascii="仿宋_GB2312" w:hAnsi="仿宋_GB2312" w:eastAsia="仿宋_GB2312" w:cs="仿宋_GB2312"/>
          <w:color w:val="auto"/>
          <w:spacing w:val="-6"/>
          <w:kern w:val="0"/>
          <w:szCs w:val="32"/>
          <w:highlight w:val="none"/>
        </w:rPr>
        <w:t>根据有关规划要求，改造</w:t>
      </w:r>
      <w:r>
        <w:rPr>
          <w:rFonts w:hint="eastAsia" w:ascii="仿宋_GB2312" w:hAnsi="仿宋_GB2312" w:eastAsia="仿宋_GB2312" w:cs="仿宋_GB2312"/>
          <w:color w:val="auto"/>
          <w:spacing w:val="-6"/>
          <w:kern w:val="0"/>
          <w:szCs w:val="32"/>
          <w:highlight w:val="none"/>
          <w:lang w:val="en-US" w:eastAsia="zh-CN"/>
        </w:rPr>
        <w:t>主体地块</w:t>
      </w:r>
      <w:r>
        <w:rPr>
          <w:rFonts w:hint="eastAsia" w:ascii="仿宋_GB2312" w:hAnsi="仿宋_GB2312" w:eastAsia="仿宋_GB2312" w:cs="仿宋_GB2312"/>
          <w:color w:val="auto"/>
          <w:spacing w:val="-6"/>
          <w:kern w:val="0"/>
          <w:szCs w:val="32"/>
          <w:highlight w:val="none"/>
        </w:rPr>
        <w:t>将严格按照</w:t>
      </w:r>
      <w:r>
        <w:rPr>
          <w:rFonts w:hint="eastAsia" w:ascii="仿宋_GB2312" w:hAnsi="仿宋_GB2312" w:eastAsia="仿宋_GB2312" w:cs="仿宋_GB2312"/>
          <w:color w:val="auto"/>
          <w:szCs w:val="32"/>
          <w:highlight w:val="none"/>
        </w:rPr>
        <w:t>国土空间总体规划</w:t>
      </w:r>
      <w:r>
        <w:rPr>
          <w:rFonts w:hint="eastAsia" w:ascii="仿宋_GB2312" w:hAnsi="仿宋_GB2312" w:eastAsia="仿宋_GB2312" w:cs="仿宋_GB2312"/>
          <w:color w:val="auto"/>
          <w:spacing w:val="-6"/>
          <w:kern w:val="0"/>
          <w:szCs w:val="32"/>
          <w:highlight w:val="none"/>
        </w:rPr>
        <w:t>、</w:t>
      </w:r>
      <w:r>
        <w:rPr>
          <w:rFonts w:hint="eastAsia" w:ascii="仿宋_GB2312" w:hAnsi="仿宋_GB2312" w:eastAsia="仿宋_GB2312" w:cs="仿宋_GB2312"/>
          <w:color w:val="auto"/>
          <w:spacing w:val="-6"/>
          <w:szCs w:val="20"/>
          <w:highlight w:val="none"/>
        </w:rPr>
        <w:t>单元规划及现行控制性详细规划</w:t>
      </w:r>
      <w:r>
        <w:rPr>
          <w:rFonts w:hint="eastAsia" w:ascii="仿宋_GB2312" w:hAnsi="仿宋_GB2312" w:eastAsia="仿宋_GB2312" w:cs="仿宋_GB2312"/>
          <w:color w:val="auto"/>
          <w:spacing w:val="-6"/>
          <w:kern w:val="0"/>
          <w:szCs w:val="32"/>
          <w:highlight w:val="none"/>
        </w:rPr>
        <w:t>管控要求实施建设。在单元规划及现行控制性详细规划中属道路和绿地等公益性用地部分，日后属地政府按规划开发建设时，应无偿将用地交给属地政府使用。</w:t>
      </w:r>
    </w:p>
    <w:p>
      <w:pPr>
        <w:numPr>
          <w:ilvl w:val="0"/>
          <w:numId w:val="2"/>
        </w:numPr>
        <w:adjustRightInd w:val="0"/>
        <w:snapToGrid w:val="0"/>
        <w:spacing w:line="574" w:lineRule="exact"/>
        <w:ind w:firstLine="616"/>
        <w:rPr>
          <w:rFonts w:hint="eastAsia" w:ascii="楷体" w:hAnsi="楷体" w:eastAsia="楷体" w:cs="楷体"/>
          <w:color w:val="auto"/>
          <w:spacing w:val="-6"/>
          <w:kern w:val="0"/>
          <w:szCs w:val="32"/>
          <w:highlight w:val="none"/>
          <w:lang w:eastAsia="zh-CN"/>
        </w:rPr>
      </w:pPr>
      <w:r>
        <w:rPr>
          <w:rFonts w:hint="eastAsia" w:ascii="楷体" w:hAnsi="楷体" w:eastAsia="楷体" w:cs="楷体"/>
          <w:color w:val="auto"/>
          <w:spacing w:val="-6"/>
          <w:kern w:val="0"/>
          <w:szCs w:val="32"/>
          <w:highlight w:val="none"/>
          <w:lang w:eastAsia="zh-CN"/>
        </w:rPr>
        <w:t>改造主体</w:t>
      </w:r>
    </w:p>
    <w:p>
      <w:pPr>
        <w:adjustRightInd w:val="0"/>
        <w:snapToGrid w:val="0"/>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该改造项目属</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工改工</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宗地项目，由中山市诚艺工业投资有限公司作为改造主体，拟采取单一主体归宗的改造方式实施全面改造。</w:t>
      </w:r>
    </w:p>
    <w:p>
      <w:pPr>
        <w:numPr>
          <w:ilvl w:val="-1"/>
          <w:numId w:val="0"/>
        </w:numPr>
        <w:adjustRightInd w:val="0"/>
        <w:snapToGrid w:val="0"/>
        <w:ind w:firstLine="616" w:firstLineChars="200"/>
        <w:rPr>
          <w:rFonts w:hint="eastAsia" w:ascii="楷体" w:hAnsi="楷体" w:eastAsia="楷体" w:cs="楷体"/>
          <w:color w:val="auto"/>
          <w:spacing w:val="-6"/>
          <w:kern w:val="0"/>
          <w:szCs w:val="32"/>
          <w:highlight w:val="none"/>
        </w:rPr>
      </w:pPr>
      <w:r>
        <w:rPr>
          <w:rFonts w:hint="eastAsia" w:ascii="楷体" w:hAnsi="楷体" w:eastAsia="楷体" w:cs="楷体"/>
          <w:color w:val="auto"/>
          <w:spacing w:val="-6"/>
          <w:kern w:val="0"/>
          <w:szCs w:val="32"/>
          <w:highlight w:val="none"/>
          <w:lang w:eastAsia="zh-CN"/>
        </w:rPr>
        <w:t>（二）拟改造情况</w:t>
      </w:r>
    </w:p>
    <w:p>
      <w:pPr>
        <w:adjustRightInd w:val="0"/>
        <w:snapToGrid w:val="0"/>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改造后将用于工业用途，引入符合《中山市优先发展产业目录(2019年版)》的项目，</w:t>
      </w:r>
      <w:r>
        <w:rPr>
          <w:rFonts w:hint="default" w:ascii="Times New Roman" w:hAnsi="Times New Roman" w:eastAsia="仿宋_GB2312" w:cs="Times New Roman"/>
          <w:color w:val="auto"/>
          <w:spacing w:val="-6"/>
          <w:kern w:val="0"/>
          <w:szCs w:val="32"/>
          <w:highlight w:val="none"/>
          <w:lang w:bidi="ar"/>
        </w:rPr>
        <w:t>规划打造一个集精密制造、新材料、医疗器械、新一代信息技术、打印耗材等于一体多元化</w:t>
      </w:r>
      <w:bookmarkStart w:id="0" w:name="_GoBack"/>
      <w:bookmarkEnd w:id="0"/>
      <w:r>
        <w:rPr>
          <w:rFonts w:hint="default" w:ascii="Times New Roman" w:hAnsi="Times New Roman" w:eastAsia="仿宋_GB2312" w:cs="Times New Roman"/>
          <w:color w:val="auto"/>
          <w:spacing w:val="-6"/>
          <w:kern w:val="0"/>
          <w:szCs w:val="32"/>
          <w:highlight w:val="none"/>
          <w:lang w:bidi="ar"/>
        </w:rPr>
        <w:t>复合型的现代化产业园区。</w:t>
      </w:r>
      <w:r>
        <w:rPr>
          <w:rFonts w:hint="default" w:ascii="Times New Roman" w:hAnsi="Times New Roman" w:eastAsia="仿宋_GB2312" w:cs="Times New Roman"/>
          <w:color w:val="auto"/>
          <w:spacing w:val="-6"/>
          <w:kern w:val="0"/>
          <w:szCs w:val="32"/>
          <w:highlight w:val="none"/>
        </w:rPr>
        <w:t>在符合详细规划的基础上，容积率不小于</w:t>
      </w:r>
      <w:r>
        <w:rPr>
          <w:rFonts w:hint="eastAsia" w:ascii="Times New Roman" w:hAnsi="Times New Roman" w:eastAsia="仿宋_GB2312" w:cs="Times New Roman"/>
          <w:color w:val="auto"/>
          <w:spacing w:val="-6"/>
          <w:kern w:val="0"/>
          <w:szCs w:val="32"/>
          <w:highlight w:val="none"/>
          <w:lang w:val="en-US" w:eastAsia="zh-CN"/>
        </w:rPr>
        <w:t>2.0</w:t>
      </w:r>
      <w:r>
        <w:rPr>
          <w:rFonts w:hint="default" w:ascii="Times New Roman" w:hAnsi="Times New Roman" w:eastAsia="仿宋_GB2312" w:cs="Times New Roman"/>
          <w:color w:val="auto"/>
          <w:spacing w:val="-6"/>
          <w:kern w:val="0"/>
          <w:szCs w:val="32"/>
          <w:highlight w:val="none"/>
        </w:rPr>
        <w:t>，总建筑面积不小于112840.06平方米，其中新建建筑面积不少于112840.06平方米</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最终容积率及拟建面积以规划许可证批复为准。最终规划方案总平面图及单体图以规划许可证及施工许可证批复为准</w:t>
      </w:r>
      <w:r>
        <w:rPr>
          <w:rFonts w:hint="eastAsia" w:ascii="Times New Roman" w:hAnsi="Times New Roman" w:eastAsia="仿宋_GB2312" w:cs="Times New Roman"/>
          <w:color w:val="auto"/>
          <w:spacing w:val="-6"/>
          <w:kern w:val="0"/>
          <w:szCs w:val="32"/>
          <w:highlight w:val="none"/>
          <w:lang w:eastAsia="zh-CN"/>
        </w:rPr>
        <w:t>。</w:t>
      </w:r>
      <w:r>
        <w:rPr>
          <w:rFonts w:hint="eastAsia" w:ascii="Times New Roman" w:hAnsi="Times New Roman" w:eastAsia="仿宋_GB2312" w:cs="Times New Roman"/>
          <w:color w:val="auto"/>
          <w:spacing w:val="-6"/>
          <w:kern w:val="0"/>
          <w:szCs w:val="32"/>
          <w:highlight w:val="none"/>
          <w:lang w:val="en-US" w:eastAsia="zh-CN"/>
        </w:rPr>
        <w:t>项目申请分割销售，自持比例不小于20%。</w:t>
      </w:r>
    </w:p>
    <w:p>
      <w:pPr>
        <w:adjustRightInd w:val="0"/>
        <w:snapToGrid w:val="0"/>
        <w:jc w:val="left"/>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项目情况符合国家《产业结构调整指导目录》</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《中山市“三线一单”生态环境分区管控方案》</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《中山市涉挥发性有机物项目环保管理规定》。</w:t>
      </w:r>
      <w:r>
        <w:rPr>
          <w:rFonts w:hint="eastAsia" w:ascii="Times New Roman" w:hAnsi="Times New Roman" w:eastAsia="仿宋_GB2312" w:cs="Times New Roman"/>
          <w:color w:val="auto"/>
          <w:spacing w:val="-6"/>
          <w:kern w:val="0"/>
          <w:szCs w:val="32"/>
          <w:highlight w:val="none"/>
          <w:lang w:val="en-US" w:eastAsia="zh-CN"/>
        </w:rPr>
        <w:t>以供地面积作为计算依据，</w:t>
      </w:r>
      <w:r>
        <w:rPr>
          <w:rFonts w:hint="default" w:ascii="Times New Roman" w:hAnsi="Times New Roman" w:eastAsia="仿宋_GB2312" w:cs="Times New Roman"/>
          <w:color w:val="auto"/>
          <w:spacing w:val="-6"/>
          <w:kern w:val="0"/>
          <w:szCs w:val="32"/>
          <w:highlight w:val="none"/>
        </w:rPr>
        <w:t xml:space="preserve">改造后投资强度将达到50778.00万元（约600万元/亩），年税收将达到1692.60万元（约20万元/亩）。 </w:t>
      </w:r>
    </w:p>
    <w:p>
      <w:pPr>
        <w:pStyle w:val="2"/>
        <w:numPr>
          <w:ilvl w:val="-1"/>
          <w:numId w:val="0"/>
        </w:numPr>
        <w:adjustRightInd w:val="0"/>
        <w:snapToGrid w:val="0"/>
        <w:spacing w:line="574" w:lineRule="exact"/>
        <w:ind w:leftChars="200" w:firstLine="0" w:firstLineChars="0"/>
        <w:rPr>
          <w:b/>
          <w:bCs/>
          <w:color w:val="auto"/>
          <w:highlight w:val="none"/>
        </w:rPr>
      </w:pPr>
      <w:r>
        <w:rPr>
          <w:rFonts w:hint="eastAsia"/>
          <w:color w:val="auto"/>
          <w:highlight w:val="none"/>
          <w:lang w:eastAsia="zh-CN"/>
        </w:rPr>
        <w:t>四、</w:t>
      </w:r>
      <w:r>
        <w:rPr>
          <w:rFonts w:hint="eastAsia"/>
          <w:color w:val="auto"/>
          <w:highlight w:val="none"/>
        </w:rPr>
        <w:t>需办理的用地手续</w:t>
      </w:r>
    </w:p>
    <w:p>
      <w:pPr>
        <w:pStyle w:val="3"/>
        <w:adjustRightInd w:val="0"/>
        <w:snapToGrid w:val="0"/>
        <w:spacing w:line="574" w:lineRule="exact"/>
        <w:ind w:left="0" w:firstLine="616" w:firstLineChars="200"/>
        <w:rPr>
          <w:rFonts w:ascii="楷体" w:hAnsi="楷体" w:eastAsia="楷体" w:cs="楷体"/>
          <w:b w:val="0"/>
          <w:bCs w:val="0"/>
          <w:color w:val="auto"/>
          <w:spacing w:val="-6"/>
          <w:kern w:val="0"/>
          <w:sz w:val="32"/>
          <w:highlight w:val="none"/>
        </w:rPr>
      </w:pPr>
      <w:r>
        <w:rPr>
          <w:rFonts w:hint="eastAsia" w:ascii="楷体" w:hAnsi="楷体" w:eastAsia="楷体" w:cs="楷体"/>
          <w:b w:val="0"/>
          <w:bCs w:val="0"/>
          <w:color w:val="auto"/>
          <w:spacing w:val="-6"/>
          <w:kern w:val="0"/>
          <w:sz w:val="32"/>
          <w:highlight w:val="none"/>
        </w:rPr>
        <w:t>不动产注销登记</w:t>
      </w:r>
    </w:p>
    <w:p>
      <w:pPr>
        <w:adjustRightInd w:val="0"/>
        <w:snapToGrid w:val="0"/>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该3宗土地凭经批准的改造方案及批复等材料办理不动产注销登记手续。</w:t>
      </w:r>
    </w:p>
    <w:p>
      <w:pPr>
        <w:pStyle w:val="3"/>
        <w:adjustRightInd w:val="0"/>
        <w:snapToGrid w:val="0"/>
        <w:spacing w:line="574" w:lineRule="exact"/>
        <w:ind w:left="0" w:firstLine="616" w:firstLineChars="200"/>
        <w:rPr>
          <w:rFonts w:ascii="楷体" w:hAnsi="楷体" w:eastAsia="楷体" w:cs="楷体"/>
          <w:b w:val="0"/>
          <w:bCs w:val="0"/>
          <w:color w:val="auto"/>
          <w:spacing w:val="-6"/>
          <w:kern w:val="0"/>
          <w:sz w:val="32"/>
          <w:highlight w:val="none"/>
        </w:rPr>
      </w:pPr>
      <w:r>
        <w:rPr>
          <w:rFonts w:hint="eastAsia" w:ascii="楷体" w:hAnsi="楷体" w:eastAsia="楷体" w:cs="楷体"/>
          <w:b w:val="0"/>
          <w:bCs w:val="0"/>
          <w:color w:val="auto"/>
          <w:spacing w:val="-6"/>
          <w:kern w:val="0"/>
          <w:sz w:val="32"/>
          <w:highlight w:val="none"/>
        </w:rPr>
        <w:t>土地供应</w:t>
      </w:r>
    </w:p>
    <w:p>
      <w:pPr>
        <w:adjustRightInd w:val="0"/>
        <w:snapToGrid w:val="0"/>
        <w:ind w:firstLine="616"/>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办理不动产注销登记手续后，依据</w:t>
      </w:r>
      <w:r>
        <w:rPr>
          <w:rFonts w:hint="eastAsia"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单元规划</w:t>
      </w:r>
      <w:r>
        <w:rPr>
          <w:rFonts w:hint="eastAsia"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及</w:t>
      </w:r>
      <w:r>
        <w:rPr>
          <w:rFonts w:ascii="Times New Roman" w:hAnsi="Times New Roman" w:eastAsia="仿宋_GB2312" w:cs="Times New Roman"/>
          <w:color w:val="auto"/>
          <w:szCs w:val="32"/>
          <w:highlight w:val="none"/>
        </w:rPr>
        <w:t>《中山市神湾镇南沙工业园片区（2102单元）D街区A-05-01等地块控制性详细规划局部调整（2024）》</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中府函〔2024〕59号</w:t>
      </w:r>
      <w:r>
        <w:rPr>
          <w:rFonts w:hint="eastAsia"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pacing w:val="-6"/>
          <w:kern w:val="0"/>
          <w:szCs w:val="32"/>
          <w:highlight w:val="none"/>
        </w:rPr>
        <w:t>，一类工业用地</w:t>
      </w:r>
      <w:r>
        <w:rPr>
          <w:rFonts w:hint="eastAsia" w:ascii="Times New Roman" w:hAnsi="Times New Roman" w:eastAsia="仿宋_GB2312" w:cs="Times New Roman"/>
          <w:color w:val="auto"/>
          <w:spacing w:val="-6"/>
          <w:kern w:val="0"/>
          <w:szCs w:val="32"/>
          <w:highlight w:val="none"/>
          <w:lang w:val="en-US" w:eastAsia="zh-CN"/>
        </w:rPr>
        <w:t>面积</w:t>
      </w:r>
      <w:r>
        <w:rPr>
          <w:rFonts w:hint="default" w:ascii="Times New Roman" w:hAnsi="Times New Roman" w:eastAsia="仿宋_GB2312" w:cs="Times New Roman"/>
          <w:color w:val="auto"/>
          <w:spacing w:val="-6"/>
          <w:kern w:val="0"/>
          <w:szCs w:val="32"/>
          <w:highlight w:val="none"/>
        </w:rPr>
        <w:t>5.6420公顷(56420.03平方米，折合约84.63亩)拟采用协议出让方式供地给中山市诚艺工业投资有限公司。地块分两期供地</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福源路北为神湾镇诚艺精工产业城</w:t>
      </w:r>
      <w:r>
        <w:rPr>
          <w:rFonts w:hint="eastAsia" w:ascii="Times New Roman" w:hAnsi="Times New Roman" w:eastAsia="仿宋_GB2312" w:cs="Times New Roman"/>
          <w:color w:val="auto"/>
          <w:spacing w:val="-6"/>
          <w:kern w:val="0"/>
          <w:szCs w:val="32"/>
          <w:highlight w:val="none"/>
          <w:lang w:val="en-US" w:eastAsia="zh-CN"/>
        </w:rPr>
        <w:t>项目</w:t>
      </w:r>
      <w:r>
        <w:rPr>
          <w:rFonts w:hint="default" w:ascii="Times New Roman" w:hAnsi="Times New Roman" w:eastAsia="仿宋_GB2312" w:cs="Times New Roman"/>
          <w:color w:val="auto"/>
          <w:spacing w:val="-6"/>
          <w:kern w:val="0"/>
          <w:szCs w:val="32"/>
          <w:highlight w:val="none"/>
        </w:rPr>
        <w:t>三期地块，供地面积3.4597公顷（34596.79平方米，折合约51.90亩），开发时限为自土地交付之日起182日内动工，自动工之日起1095日内竣工</w:t>
      </w:r>
      <w:r>
        <w:rPr>
          <w:rFonts w:hint="eastAsia" w:ascii="Times New Roman" w:hAnsi="Times New Roman" w:eastAsia="仿宋_GB2312" w:cs="Times New Roman"/>
          <w:color w:val="auto"/>
          <w:spacing w:val="-6"/>
          <w:kern w:val="0"/>
          <w:szCs w:val="32"/>
          <w:highlight w:val="none"/>
          <w:lang w:eastAsia="zh-CN"/>
        </w:rPr>
        <w:t>，</w:t>
      </w:r>
      <w:r>
        <w:rPr>
          <w:rFonts w:hint="eastAsia" w:ascii="Times New Roman" w:hAnsi="Times New Roman" w:eastAsia="仿宋_GB2312" w:cs="Times New Roman"/>
          <w:color w:val="auto"/>
          <w:spacing w:val="-6"/>
          <w:kern w:val="0"/>
          <w:szCs w:val="32"/>
          <w:highlight w:val="none"/>
          <w:lang w:val="en-US" w:eastAsia="zh-CN"/>
        </w:rPr>
        <w:t>其中为保证项目招商顺利，将保留地块上“招商中心”，承诺该“招商中心”仅用于项目招商及接待用途，后续于2026年4月前自行拆除</w:t>
      </w:r>
      <w:r>
        <w:rPr>
          <w:rFonts w:hint="default" w:ascii="Times New Roman" w:hAnsi="Times New Roman" w:eastAsia="仿宋_GB2312" w:cs="Times New Roman"/>
          <w:color w:val="auto"/>
          <w:spacing w:val="-6"/>
          <w:kern w:val="0"/>
          <w:szCs w:val="32"/>
          <w:highlight w:val="none"/>
        </w:rPr>
        <w:t>；福源路南为神湾镇诚艺精工产业城</w:t>
      </w:r>
      <w:r>
        <w:rPr>
          <w:rFonts w:hint="eastAsia" w:ascii="Times New Roman" w:hAnsi="Times New Roman" w:eastAsia="仿宋_GB2312" w:cs="Times New Roman"/>
          <w:color w:val="auto"/>
          <w:spacing w:val="-6"/>
          <w:kern w:val="0"/>
          <w:szCs w:val="32"/>
          <w:highlight w:val="none"/>
          <w:lang w:val="en-US" w:eastAsia="zh-CN"/>
        </w:rPr>
        <w:t>项目</w:t>
      </w:r>
      <w:r>
        <w:rPr>
          <w:rFonts w:hint="default" w:ascii="Times New Roman" w:hAnsi="Times New Roman" w:eastAsia="仿宋_GB2312" w:cs="Times New Roman"/>
          <w:color w:val="auto"/>
          <w:spacing w:val="-6"/>
          <w:kern w:val="0"/>
          <w:szCs w:val="32"/>
          <w:highlight w:val="none"/>
        </w:rPr>
        <w:t>四期地块，供地面积2.1823公顷（21823.24平方米，折合约32.74亩），开发时限为自土地交付之日起182日内动工，自神湾镇诚艺精工产业城</w:t>
      </w:r>
      <w:r>
        <w:rPr>
          <w:rFonts w:hint="eastAsia" w:ascii="Times New Roman" w:hAnsi="Times New Roman" w:eastAsia="仿宋_GB2312" w:cs="Times New Roman"/>
          <w:color w:val="auto"/>
          <w:spacing w:val="-6"/>
          <w:kern w:val="0"/>
          <w:szCs w:val="32"/>
          <w:highlight w:val="none"/>
          <w:lang w:val="en-US" w:eastAsia="zh-CN"/>
        </w:rPr>
        <w:t>项目三</w:t>
      </w:r>
      <w:r>
        <w:rPr>
          <w:rFonts w:hint="default" w:ascii="Times New Roman" w:hAnsi="Times New Roman" w:eastAsia="仿宋_GB2312" w:cs="Times New Roman"/>
          <w:color w:val="auto"/>
          <w:spacing w:val="-6"/>
          <w:kern w:val="0"/>
          <w:szCs w:val="32"/>
          <w:highlight w:val="none"/>
        </w:rPr>
        <w:t>期地块动工之日起1095日内竣工。供电用地</w:t>
      </w:r>
      <w:r>
        <w:rPr>
          <w:rFonts w:hint="eastAsia" w:ascii="Times New Roman" w:hAnsi="Times New Roman" w:eastAsia="仿宋_GB2312" w:cs="Times New Roman"/>
          <w:color w:val="auto"/>
          <w:spacing w:val="-6"/>
          <w:kern w:val="0"/>
          <w:szCs w:val="32"/>
          <w:highlight w:val="none"/>
          <w:lang w:val="en-US" w:eastAsia="zh-CN"/>
        </w:rPr>
        <w:t>面积</w:t>
      </w:r>
      <w:r>
        <w:rPr>
          <w:rFonts w:hint="default" w:ascii="Times New Roman" w:hAnsi="Times New Roman" w:eastAsia="仿宋_GB2312" w:cs="Times New Roman"/>
          <w:color w:val="auto"/>
          <w:spacing w:val="-6"/>
          <w:kern w:val="0"/>
          <w:szCs w:val="32"/>
          <w:highlight w:val="none"/>
        </w:rPr>
        <w:t>0.3973公顷（3973.33平方米，折合约6.00亩）、环卫用地</w:t>
      </w:r>
      <w:r>
        <w:rPr>
          <w:rFonts w:hint="eastAsia" w:ascii="Times New Roman" w:hAnsi="Times New Roman" w:eastAsia="仿宋_GB2312" w:cs="Times New Roman"/>
          <w:color w:val="auto"/>
          <w:spacing w:val="-6"/>
          <w:kern w:val="0"/>
          <w:szCs w:val="32"/>
          <w:highlight w:val="none"/>
          <w:lang w:val="en-US" w:eastAsia="zh-CN"/>
        </w:rPr>
        <w:t>面积</w:t>
      </w:r>
      <w:r>
        <w:rPr>
          <w:rFonts w:hint="default" w:ascii="Times New Roman" w:hAnsi="Times New Roman" w:eastAsia="仿宋_GB2312" w:cs="Times New Roman"/>
          <w:color w:val="auto"/>
          <w:spacing w:val="-6"/>
          <w:kern w:val="0"/>
          <w:szCs w:val="32"/>
          <w:highlight w:val="none"/>
        </w:rPr>
        <w:t>0.0807公顷（807.10平方米，折合约1.21亩）和道路用地</w:t>
      </w:r>
      <w:r>
        <w:rPr>
          <w:rFonts w:hint="eastAsia" w:ascii="Times New Roman" w:hAnsi="Times New Roman" w:eastAsia="仿宋_GB2312" w:cs="Times New Roman"/>
          <w:color w:val="auto"/>
          <w:spacing w:val="-6"/>
          <w:kern w:val="0"/>
          <w:szCs w:val="32"/>
          <w:highlight w:val="none"/>
          <w:lang w:val="en-US" w:eastAsia="zh-CN"/>
        </w:rPr>
        <w:t>面积</w:t>
      </w:r>
      <w:r>
        <w:rPr>
          <w:rFonts w:hint="default" w:ascii="Times New Roman" w:hAnsi="Times New Roman" w:eastAsia="仿宋_GB2312" w:cs="Times New Roman"/>
          <w:color w:val="auto"/>
          <w:spacing w:val="-6"/>
          <w:kern w:val="0"/>
          <w:szCs w:val="32"/>
          <w:highlight w:val="none"/>
        </w:rPr>
        <w:t>0.5206公顷 (5205.79平方米，折合约7.81亩)拟采用划拨方式供地给神湾镇人民政府；加油加气站用地</w:t>
      </w:r>
      <w:r>
        <w:rPr>
          <w:rFonts w:hint="eastAsia" w:ascii="Times New Roman" w:hAnsi="Times New Roman" w:eastAsia="仿宋_GB2312" w:cs="Times New Roman"/>
          <w:color w:val="auto"/>
          <w:spacing w:val="-6"/>
          <w:kern w:val="0"/>
          <w:szCs w:val="32"/>
          <w:highlight w:val="none"/>
          <w:lang w:val="en-US" w:eastAsia="zh-CN"/>
        </w:rPr>
        <w:t>面积</w:t>
      </w:r>
      <w:r>
        <w:rPr>
          <w:rFonts w:hint="default" w:ascii="Times New Roman" w:hAnsi="Times New Roman" w:eastAsia="仿宋_GB2312" w:cs="Times New Roman"/>
          <w:color w:val="auto"/>
          <w:spacing w:val="-6"/>
          <w:kern w:val="0"/>
          <w:szCs w:val="32"/>
          <w:highlight w:val="none"/>
        </w:rPr>
        <w:t>0.0279公顷（279.01平方米，折合约0.42亩）</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zCs w:val="32"/>
          <w:highlight w:val="none"/>
        </w:rPr>
        <w:t>未纳入“三旧”标图入库的77.25平方米用地</w:t>
      </w:r>
      <w:r>
        <w:rPr>
          <w:rFonts w:hint="default" w:ascii="Times New Roman" w:hAnsi="Times New Roman" w:eastAsia="仿宋_GB2312" w:cs="Times New Roman"/>
          <w:color w:val="auto"/>
          <w:spacing w:val="-6"/>
          <w:kern w:val="0"/>
          <w:szCs w:val="32"/>
          <w:highlight w:val="none"/>
        </w:rPr>
        <w:t>由于不具备独立开发条件，</w:t>
      </w:r>
      <w:r>
        <w:rPr>
          <w:rFonts w:hint="default" w:ascii="Times New Roman" w:hAnsi="Times New Roman" w:eastAsia="仿宋_GB2312" w:cs="Times New Roman"/>
          <w:color w:val="auto"/>
          <w:szCs w:val="32"/>
          <w:highlight w:val="none"/>
        </w:rPr>
        <w:t>注销不动产权证后</w:t>
      </w:r>
      <w:r>
        <w:rPr>
          <w:rFonts w:hint="default" w:ascii="Times New Roman" w:hAnsi="Times New Roman" w:eastAsia="仿宋_GB2312" w:cs="Times New Roman"/>
          <w:color w:val="auto"/>
          <w:spacing w:val="-6"/>
          <w:kern w:val="0"/>
          <w:szCs w:val="32"/>
          <w:highlight w:val="none"/>
        </w:rPr>
        <w:t>无偿交由政府处置。</w:t>
      </w:r>
    </w:p>
    <w:p>
      <w:pPr>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土地出让价款缴纳标准以《中山市城市更新项目土地出让价款计收规则</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修订</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》中的相关规定为准。</w:t>
      </w:r>
    </w:p>
    <w:p>
      <w:pPr>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drawing>
          <wp:anchor distT="0" distB="0" distL="114300" distR="114300" simplePos="0" relativeHeight="251660288" behindDoc="0" locked="0" layoutInCell="1" allowOverlap="1">
            <wp:simplePos x="0" y="0"/>
            <wp:positionH relativeFrom="column">
              <wp:posOffset>309245</wp:posOffset>
            </wp:positionH>
            <wp:positionV relativeFrom="paragraph">
              <wp:posOffset>1567815</wp:posOffset>
            </wp:positionV>
            <wp:extent cx="4550410" cy="4981575"/>
            <wp:effectExtent l="0" t="0" r="2540" b="9525"/>
            <wp:wrapTopAndBottom/>
            <wp:docPr id="2" name="图片 2" descr="C:/Users/Administrator/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图片1.jpg图片1"/>
                    <pic:cNvPicPr>
                      <a:picLocks noChangeAspect="1" noChangeArrowheads="1"/>
                    </pic:cNvPicPr>
                  </pic:nvPicPr>
                  <pic:blipFill>
                    <a:blip r:embed="rId8"/>
                    <a:srcRect l="138" r="138"/>
                    <a:stretch>
                      <a:fillRect/>
                    </a:stretch>
                  </pic:blipFill>
                  <pic:spPr>
                    <a:xfrm>
                      <a:off x="0" y="0"/>
                      <a:ext cx="4550410" cy="4981575"/>
                    </a:xfrm>
                    <a:prstGeom prst="rect">
                      <a:avLst/>
                    </a:prstGeom>
                    <a:noFill/>
                    <a:ln>
                      <a:noFill/>
                    </a:ln>
                  </pic:spPr>
                </pic:pic>
              </a:graphicData>
            </a:graphic>
          </wp:anchor>
        </w:drawing>
      </w:r>
      <w:r>
        <w:rPr>
          <w:rFonts w:hint="default" w:ascii="Times New Roman" w:hAnsi="Times New Roman" w:eastAsia="仿宋_GB2312" w:cs="Times New Roman"/>
          <w:color w:val="auto"/>
          <w:spacing w:val="-6"/>
          <w:kern w:val="0"/>
          <w:szCs w:val="32"/>
          <w:highlight w:val="none"/>
        </w:rPr>
        <w:t>上述用地手续符合《广东省旧城镇旧厂房旧村庄改造管理办法》(粤府令第279号)、《广东省“三旧”改造标图入库和用地报批工作指引</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2021年版</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》(粤自然资函[2021]935号)有关办理要求。</w:t>
      </w:r>
    </w:p>
    <w:p>
      <w:pPr>
        <w:ind w:firstLine="0"/>
        <w:rPr>
          <w:rFonts w:ascii="Times New Roman" w:hAnsi="Times New Roman" w:cs="Times New Roman"/>
          <w:color w:val="auto"/>
          <w:spacing w:val="-6"/>
          <w:kern w:val="0"/>
          <w:szCs w:val="32"/>
          <w:highlight w:val="none"/>
        </w:rPr>
      </w:pPr>
    </w:p>
    <w:p>
      <w:pPr>
        <w:ind w:firstLine="0"/>
        <w:jc w:val="center"/>
        <w:rPr>
          <w:rFonts w:ascii="Times New Roman" w:hAnsi="Times New Roman" w:cs="Times New Roman"/>
          <w:color w:val="auto"/>
          <w:spacing w:val="-6"/>
          <w:kern w:val="0"/>
          <w:szCs w:val="32"/>
          <w:highlight w:val="none"/>
        </w:rPr>
      </w:pPr>
      <w:r>
        <w:rPr>
          <w:rFonts w:hint="default" w:ascii="Times New Roman" w:hAnsi="Times New Roman" w:cs="Times New Roman"/>
          <w:color w:val="auto"/>
          <w:spacing w:val="-6"/>
          <w:kern w:val="0"/>
          <w:szCs w:val="32"/>
          <w:highlight w:val="none"/>
        </w:rPr>
        <w:t>图</w:t>
      </w:r>
      <w:r>
        <w:rPr>
          <w:rFonts w:ascii="Times New Roman" w:hAnsi="Times New Roman" w:cs="Times New Roman"/>
          <w:color w:val="auto"/>
          <w:spacing w:val="-6"/>
          <w:kern w:val="0"/>
          <w:szCs w:val="32"/>
          <w:highlight w:val="none"/>
        </w:rPr>
        <w:t>2</w:t>
      </w:r>
      <w:r>
        <w:rPr>
          <w:rFonts w:hint="default" w:ascii="Times New Roman" w:hAnsi="Times New Roman" w:cs="Times New Roman"/>
          <w:color w:val="auto"/>
          <w:spacing w:val="-6"/>
          <w:kern w:val="0"/>
          <w:szCs w:val="32"/>
          <w:highlight w:val="none"/>
        </w:rPr>
        <w:t>：供地示意图</w:t>
      </w:r>
    </w:p>
    <w:p>
      <w:pPr>
        <w:pStyle w:val="2"/>
        <w:spacing w:line="574" w:lineRule="exact"/>
        <w:rPr>
          <w:rFonts w:ascii="Times New Roman" w:hAnsi="Times New Roman" w:cs="Times New Roman"/>
          <w:b/>
          <w:bCs/>
          <w:color w:val="auto"/>
          <w:highlight w:val="none"/>
        </w:rPr>
      </w:pPr>
      <w:r>
        <w:rPr>
          <w:rFonts w:hint="default" w:ascii="Times New Roman" w:hAnsi="Times New Roman" w:cs="Times New Roman"/>
          <w:color w:val="auto"/>
          <w:highlight w:val="none"/>
        </w:rPr>
        <w:t>资金筹措</w:t>
      </w:r>
    </w:p>
    <w:p>
      <w:pPr>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项目改造总投入预计为5.2 亿元，由改造主体单方全额出</w:t>
      </w:r>
    </w:p>
    <w:p>
      <w:pPr>
        <w:ind w:firstLine="0"/>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资。其中自有资金 1.6亿元，银行借贷约2亿元，过程中通过</w:t>
      </w:r>
    </w:p>
    <w:p>
      <w:pPr>
        <w:ind w:firstLine="0"/>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招商回款约 1.6 亿元。以上资金筹措为暂定金额，最终以项目实际运营为准。</w:t>
      </w:r>
    </w:p>
    <w:p>
      <w:pPr>
        <w:pStyle w:val="2"/>
        <w:spacing w:line="574" w:lineRule="exact"/>
        <w:ind w:hanging="425"/>
        <w:rPr>
          <w:rFonts w:ascii="Times New Roman" w:hAnsi="Times New Roman" w:cs="Times New Roman"/>
          <w:color w:val="auto"/>
          <w:highlight w:val="none"/>
        </w:rPr>
      </w:pPr>
      <w:r>
        <w:rPr>
          <w:rFonts w:hint="default" w:ascii="Times New Roman" w:hAnsi="Times New Roman" w:cs="Times New Roman"/>
          <w:color w:val="auto"/>
          <w:highlight w:val="none"/>
        </w:rPr>
        <w:t>开发时序</w:t>
      </w:r>
    </w:p>
    <w:p>
      <w:pPr>
        <w:ind w:firstLine="616"/>
        <w:rPr>
          <w:rFonts w:hint="default" w:ascii="Times New Roman" w:hAnsi="Times New Roman" w:eastAsia="仿宋_GB2312" w:cs="Times New Roman"/>
          <w:color w:val="auto"/>
          <w:spacing w:val="-6"/>
          <w:kern w:val="0"/>
          <w:szCs w:val="32"/>
          <w:highlight w:val="none"/>
        </w:rPr>
      </w:pPr>
      <w:r>
        <w:rPr>
          <w:rFonts w:hint="default" w:ascii="Times New Roman" w:hAnsi="Times New Roman" w:eastAsia="仿宋_GB2312" w:cs="Times New Roman"/>
          <w:color w:val="auto"/>
          <w:spacing w:val="-6"/>
          <w:kern w:val="0"/>
          <w:szCs w:val="32"/>
          <w:highlight w:val="none"/>
        </w:rPr>
        <w:t>项目开发周期为3年，拟分2期开发，拟建建筑总面积不少112840.06平方米。</w:t>
      </w:r>
      <w:r>
        <w:rPr>
          <w:rFonts w:hint="eastAsia" w:ascii="Times New Roman" w:hAnsi="Times New Roman" w:eastAsia="仿宋_GB2312" w:cs="Times New Roman"/>
          <w:color w:val="auto"/>
          <w:spacing w:val="-6"/>
          <w:kern w:val="0"/>
          <w:szCs w:val="32"/>
          <w:highlight w:val="none"/>
          <w:lang w:eastAsia="zh-CN"/>
        </w:rPr>
        <w:t>其中</w:t>
      </w:r>
      <w:r>
        <w:rPr>
          <w:rFonts w:hint="default" w:ascii="Times New Roman" w:hAnsi="Times New Roman" w:eastAsia="仿宋_GB2312" w:cs="Times New Roman"/>
          <w:color w:val="auto"/>
          <w:spacing w:val="-6"/>
          <w:kern w:val="0"/>
          <w:szCs w:val="32"/>
          <w:highlight w:val="none"/>
        </w:rPr>
        <w:t>，神湾镇诚艺精工产业城</w:t>
      </w:r>
      <w:r>
        <w:rPr>
          <w:rFonts w:hint="eastAsia" w:ascii="Times New Roman" w:hAnsi="Times New Roman" w:eastAsia="仿宋_GB2312" w:cs="Times New Roman"/>
          <w:color w:val="auto"/>
          <w:spacing w:val="-6"/>
          <w:kern w:val="0"/>
          <w:szCs w:val="32"/>
          <w:highlight w:val="none"/>
          <w:lang w:val="en-US" w:eastAsia="zh-CN"/>
        </w:rPr>
        <w:t>项目</w:t>
      </w:r>
      <w:r>
        <w:rPr>
          <w:rFonts w:hint="default" w:ascii="Times New Roman" w:hAnsi="Times New Roman" w:eastAsia="仿宋_GB2312" w:cs="Times New Roman"/>
          <w:color w:val="auto"/>
          <w:spacing w:val="-6"/>
          <w:kern w:val="0"/>
          <w:szCs w:val="32"/>
          <w:highlight w:val="none"/>
        </w:rPr>
        <w:t>三期开发地块拟投入资金3.7 亿元</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拟建建筑面积不少于69193.58‬平方米</w:t>
      </w:r>
      <w:r>
        <w:rPr>
          <w:rFonts w:hint="eastAsia" w:ascii="Times New Roman" w:hAnsi="Times New Roman" w:eastAsia="仿宋_GB2312" w:cs="Times New Roman"/>
          <w:color w:val="auto"/>
          <w:spacing w:val="-6"/>
          <w:kern w:val="0"/>
          <w:szCs w:val="32"/>
          <w:highlight w:val="none"/>
          <w:lang w:eastAsia="zh-CN"/>
        </w:rPr>
        <w:t>；</w:t>
      </w:r>
      <w:r>
        <w:rPr>
          <w:rFonts w:hint="default" w:ascii="Times New Roman" w:hAnsi="Times New Roman" w:eastAsia="仿宋_GB2312" w:cs="Times New Roman"/>
          <w:color w:val="auto"/>
          <w:spacing w:val="-6"/>
          <w:kern w:val="0"/>
          <w:szCs w:val="32"/>
          <w:highlight w:val="none"/>
        </w:rPr>
        <w:t>神湾镇诚艺精工产业城</w:t>
      </w:r>
      <w:r>
        <w:rPr>
          <w:rFonts w:hint="eastAsia" w:ascii="Times New Roman" w:hAnsi="Times New Roman" w:eastAsia="仿宋_GB2312" w:cs="Times New Roman"/>
          <w:color w:val="auto"/>
          <w:spacing w:val="-6"/>
          <w:kern w:val="0"/>
          <w:szCs w:val="32"/>
          <w:highlight w:val="none"/>
          <w:lang w:val="en-US" w:eastAsia="zh-CN"/>
        </w:rPr>
        <w:t>项目</w:t>
      </w:r>
      <w:r>
        <w:rPr>
          <w:rFonts w:hint="default" w:ascii="Times New Roman" w:hAnsi="Times New Roman" w:eastAsia="仿宋_GB2312" w:cs="Times New Roman"/>
          <w:color w:val="auto"/>
          <w:spacing w:val="-6"/>
          <w:kern w:val="0"/>
          <w:szCs w:val="32"/>
          <w:highlight w:val="none"/>
        </w:rPr>
        <w:t>四期开发地块拟投入资金1.5亿元，拟建建筑面积不少于43646.48平方米。最终容积率及拟建面积以规划许可证批复为准。最终规划方案总平面图及单体图以规划许可证及施工许可证批复为准。</w:t>
      </w:r>
    </w:p>
    <w:p>
      <w:pPr>
        <w:pStyle w:val="2"/>
        <w:spacing w:line="574" w:lineRule="exact"/>
        <w:ind w:hanging="425"/>
        <w:rPr>
          <w:rFonts w:ascii="Times New Roman" w:hAnsi="Times New Roman" w:cs="Times New Roman"/>
          <w:color w:val="auto"/>
          <w:highlight w:val="none"/>
        </w:rPr>
      </w:pPr>
      <w:r>
        <w:rPr>
          <w:rFonts w:hint="default" w:ascii="Times New Roman" w:hAnsi="Times New Roman" w:cs="Times New Roman"/>
          <w:color w:val="auto"/>
          <w:highlight w:val="none"/>
        </w:rPr>
        <w:t>实施监管</w:t>
      </w:r>
    </w:p>
    <w:p>
      <w:pPr>
        <w:ind w:firstLine="616"/>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kern w:val="0"/>
          <w:szCs w:val="32"/>
          <w:highlight w:val="none"/>
        </w:rPr>
        <w:t>改造主体应当按规定与神湾镇人民政府签订已拟定的项目实施监管协议，并按监管协议约定实施改造。</w:t>
      </w:r>
    </w:p>
    <w:p>
      <w:pPr>
        <w:ind w:firstLine="616" w:firstLineChars="200"/>
        <w:rPr>
          <w:rFonts w:ascii="Times New Roman" w:hAnsi="Times New Roman" w:eastAsia="仿宋_GB2312" w:cs="Times New Roman"/>
          <w:color w:val="auto"/>
          <w:spacing w:val="-6"/>
          <w:szCs w:val="32"/>
          <w:highlight w:val="none"/>
        </w:rPr>
      </w:pPr>
      <w:r>
        <w:rPr>
          <w:rFonts w:hint="default" w:ascii="Times New Roman" w:hAnsi="Times New Roman" w:eastAsia="仿宋_GB2312" w:cs="Times New Roman"/>
          <w:color w:val="auto"/>
          <w:spacing w:val="-6"/>
          <w:szCs w:val="32"/>
          <w:highlight w:val="none"/>
        </w:rPr>
        <w:t xml:space="preserve"> </w:t>
      </w:r>
    </w:p>
    <w:p>
      <w:pPr>
        <w:rPr>
          <w:color w:val="auto"/>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pStyle w:val="2"/>
      <w:suff w:val="nothing"/>
      <w:lvlText w:val="%1、"/>
      <w:lvlJc w:val="left"/>
      <w:pPr>
        <w:ind w:left="425"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A7AED9"/>
    <w:multiLevelType w:val="singleLevel"/>
    <w:tmpl w:val="61A7AED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1Zjc5NDA3MTlmMjY4NzA0NDJjNWFhMmExN2Q1NWIifQ=="/>
    <w:docVar w:name="KSO_WPS_MARK_KEY" w:val="586d019f-2a45-4c1e-ab32-921d66b9b2f2"/>
  </w:docVars>
  <w:rsids>
    <w:rsidRoot w:val="00172A27"/>
    <w:rsid w:val="0004052D"/>
    <w:rsid w:val="000B04E9"/>
    <w:rsid w:val="000B050A"/>
    <w:rsid w:val="000D5E61"/>
    <w:rsid w:val="000E4EBC"/>
    <w:rsid w:val="00111B40"/>
    <w:rsid w:val="00172A27"/>
    <w:rsid w:val="001861CC"/>
    <w:rsid w:val="001876BB"/>
    <w:rsid w:val="001C7A94"/>
    <w:rsid w:val="001D5AF0"/>
    <w:rsid w:val="002004A1"/>
    <w:rsid w:val="0022303A"/>
    <w:rsid w:val="002361BE"/>
    <w:rsid w:val="002857C4"/>
    <w:rsid w:val="002A7F40"/>
    <w:rsid w:val="002B6FD4"/>
    <w:rsid w:val="0031591A"/>
    <w:rsid w:val="0033195F"/>
    <w:rsid w:val="00340E9A"/>
    <w:rsid w:val="00351486"/>
    <w:rsid w:val="003F75BE"/>
    <w:rsid w:val="00417B9D"/>
    <w:rsid w:val="00437F71"/>
    <w:rsid w:val="00461C74"/>
    <w:rsid w:val="004715F6"/>
    <w:rsid w:val="004A4654"/>
    <w:rsid w:val="004C3555"/>
    <w:rsid w:val="004D6A11"/>
    <w:rsid w:val="004F2308"/>
    <w:rsid w:val="00542C28"/>
    <w:rsid w:val="0056736A"/>
    <w:rsid w:val="0057187A"/>
    <w:rsid w:val="005903CD"/>
    <w:rsid w:val="005A10F8"/>
    <w:rsid w:val="00664AD0"/>
    <w:rsid w:val="00670DA1"/>
    <w:rsid w:val="0068404B"/>
    <w:rsid w:val="00687175"/>
    <w:rsid w:val="0069503B"/>
    <w:rsid w:val="006A29C1"/>
    <w:rsid w:val="006C0102"/>
    <w:rsid w:val="006C2595"/>
    <w:rsid w:val="007002BA"/>
    <w:rsid w:val="00732810"/>
    <w:rsid w:val="00740072"/>
    <w:rsid w:val="00751BE2"/>
    <w:rsid w:val="00771371"/>
    <w:rsid w:val="00794641"/>
    <w:rsid w:val="007A2DB1"/>
    <w:rsid w:val="007C3C31"/>
    <w:rsid w:val="0080018E"/>
    <w:rsid w:val="00855CBD"/>
    <w:rsid w:val="00887D45"/>
    <w:rsid w:val="008B2A41"/>
    <w:rsid w:val="008C542E"/>
    <w:rsid w:val="008D4368"/>
    <w:rsid w:val="0090053E"/>
    <w:rsid w:val="00930F9D"/>
    <w:rsid w:val="009368DF"/>
    <w:rsid w:val="00941E2B"/>
    <w:rsid w:val="009846D3"/>
    <w:rsid w:val="009951C4"/>
    <w:rsid w:val="009C3330"/>
    <w:rsid w:val="009C4868"/>
    <w:rsid w:val="009E3620"/>
    <w:rsid w:val="00A24140"/>
    <w:rsid w:val="00A376D3"/>
    <w:rsid w:val="00A51880"/>
    <w:rsid w:val="00A919B1"/>
    <w:rsid w:val="00A93BCF"/>
    <w:rsid w:val="00A97D40"/>
    <w:rsid w:val="00AD66ED"/>
    <w:rsid w:val="00B11C04"/>
    <w:rsid w:val="00B2458D"/>
    <w:rsid w:val="00B33318"/>
    <w:rsid w:val="00B54C5E"/>
    <w:rsid w:val="00B57552"/>
    <w:rsid w:val="00BB4B5E"/>
    <w:rsid w:val="00BD6D37"/>
    <w:rsid w:val="00BE628A"/>
    <w:rsid w:val="00BE6CB4"/>
    <w:rsid w:val="00C17352"/>
    <w:rsid w:val="00C3469E"/>
    <w:rsid w:val="00C36B19"/>
    <w:rsid w:val="00C45B15"/>
    <w:rsid w:val="00C62A40"/>
    <w:rsid w:val="00C775E6"/>
    <w:rsid w:val="00CB606B"/>
    <w:rsid w:val="00CC67AA"/>
    <w:rsid w:val="00CD0562"/>
    <w:rsid w:val="00CD4468"/>
    <w:rsid w:val="00CD5E30"/>
    <w:rsid w:val="00D1505F"/>
    <w:rsid w:val="00D17CD7"/>
    <w:rsid w:val="00D40B96"/>
    <w:rsid w:val="00D466DD"/>
    <w:rsid w:val="00D62489"/>
    <w:rsid w:val="00D80D2B"/>
    <w:rsid w:val="00D848A8"/>
    <w:rsid w:val="00D92E8E"/>
    <w:rsid w:val="00DB33B4"/>
    <w:rsid w:val="00DC49BA"/>
    <w:rsid w:val="00DD18B4"/>
    <w:rsid w:val="00DF62BF"/>
    <w:rsid w:val="00E86E52"/>
    <w:rsid w:val="00EF4D8F"/>
    <w:rsid w:val="00F00790"/>
    <w:rsid w:val="00F07E08"/>
    <w:rsid w:val="00F30348"/>
    <w:rsid w:val="00F7134B"/>
    <w:rsid w:val="00FB7544"/>
    <w:rsid w:val="00FE006B"/>
    <w:rsid w:val="02861295"/>
    <w:rsid w:val="04541862"/>
    <w:rsid w:val="04906F0D"/>
    <w:rsid w:val="04F46C31"/>
    <w:rsid w:val="068A254B"/>
    <w:rsid w:val="06F84E77"/>
    <w:rsid w:val="0AEB1B6F"/>
    <w:rsid w:val="0B1055D0"/>
    <w:rsid w:val="0B156DBB"/>
    <w:rsid w:val="0CC03063"/>
    <w:rsid w:val="0E7B24D4"/>
    <w:rsid w:val="0F174CC9"/>
    <w:rsid w:val="0FF17F33"/>
    <w:rsid w:val="133B0390"/>
    <w:rsid w:val="153C497F"/>
    <w:rsid w:val="16DF0D7F"/>
    <w:rsid w:val="17CE2A69"/>
    <w:rsid w:val="183E6261"/>
    <w:rsid w:val="18EF453A"/>
    <w:rsid w:val="19556AA8"/>
    <w:rsid w:val="1A3C1E66"/>
    <w:rsid w:val="1B1C4C57"/>
    <w:rsid w:val="1B8169DD"/>
    <w:rsid w:val="1C2C1048"/>
    <w:rsid w:val="1C6B65AE"/>
    <w:rsid w:val="1E1024E2"/>
    <w:rsid w:val="1FDA3E58"/>
    <w:rsid w:val="20D63F6F"/>
    <w:rsid w:val="20D92E53"/>
    <w:rsid w:val="22305DA9"/>
    <w:rsid w:val="22DF6DDE"/>
    <w:rsid w:val="27DB68BD"/>
    <w:rsid w:val="29C80CE3"/>
    <w:rsid w:val="2D475FE4"/>
    <w:rsid w:val="2EC37722"/>
    <w:rsid w:val="2F202CC8"/>
    <w:rsid w:val="30C62C1B"/>
    <w:rsid w:val="31114A87"/>
    <w:rsid w:val="313F155B"/>
    <w:rsid w:val="323C6C95"/>
    <w:rsid w:val="32545820"/>
    <w:rsid w:val="34A61A80"/>
    <w:rsid w:val="34BA1559"/>
    <w:rsid w:val="35241C5F"/>
    <w:rsid w:val="3A2E7530"/>
    <w:rsid w:val="3BB02DA5"/>
    <w:rsid w:val="3C9A76D3"/>
    <w:rsid w:val="3C9C3B7B"/>
    <w:rsid w:val="3CB52527"/>
    <w:rsid w:val="3E636451"/>
    <w:rsid w:val="3E654D00"/>
    <w:rsid w:val="3EA0032E"/>
    <w:rsid w:val="40CF3584"/>
    <w:rsid w:val="43C1583B"/>
    <w:rsid w:val="44F17528"/>
    <w:rsid w:val="45491076"/>
    <w:rsid w:val="465923A4"/>
    <w:rsid w:val="47B17DFC"/>
    <w:rsid w:val="47BF4CF0"/>
    <w:rsid w:val="49B32DB7"/>
    <w:rsid w:val="4AF475FD"/>
    <w:rsid w:val="4B090B01"/>
    <w:rsid w:val="4C1030C1"/>
    <w:rsid w:val="4D546851"/>
    <w:rsid w:val="4DDB6489"/>
    <w:rsid w:val="4FF07EA2"/>
    <w:rsid w:val="54682ECA"/>
    <w:rsid w:val="57C87B3E"/>
    <w:rsid w:val="58AB14CE"/>
    <w:rsid w:val="59D31D86"/>
    <w:rsid w:val="5A0511A0"/>
    <w:rsid w:val="5B75221C"/>
    <w:rsid w:val="5BE360E5"/>
    <w:rsid w:val="5CC671A4"/>
    <w:rsid w:val="5CF17019"/>
    <w:rsid w:val="5F0F57AB"/>
    <w:rsid w:val="62831D14"/>
    <w:rsid w:val="64221794"/>
    <w:rsid w:val="65C57358"/>
    <w:rsid w:val="677702EB"/>
    <w:rsid w:val="689E5B73"/>
    <w:rsid w:val="69307D84"/>
    <w:rsid w:val="6A0D3D09"/>
    <w:rsid w:val="6AD13136"/>
    <w:rsid w:val="6DEC7532"/>
    <w:rsid w:val="6F12734A"/>
    <w:rsid w:val="7338741A"/>
    <w:rsid w:val="73C43CC4"/>
    <w:rsid w:val="755B649A"/>
    <w:rsid w:val="75AC272C"/>
    <w:rsid w:val="76A41635"/>
    <w:rsid w:val="776E192C"/>
    <w:rsid w:val="79F72FA5"/>
    <w:rsid w:val="7A212F71"/>
    <w:rsid w:val="7A6135F5"/>
    <w:rsid w:val="7B785A20"/>
    <w:rsid w:val="7F48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ind w:firstLine="618"/>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2"/>
    <w:qFormat/>
    <w:uiPriority w:val="0"/>
    <w:pPr>
      <w:keepNext/>
      <w:keepLines/>
      <w:numPr>
        <w:ilvl w:val="0"/>
        <w:numId w:val="1"/>
      </w:numPr>
      <w:spacing w:line="240" w:lineRule="auto"/>
      <w:ind w:left="0" w:firstLine="616" w:firstLineChars="200"/>
      <w:outlineLvl w:val="0"/>
    </w:pPr>
    <w:rPr>
      <w:rFonts w:ascii="黑体" w:hAnsi="黑体" w:eastAsia="黑体" w:cs="黑体"/>
      <w:spacing w:val="-6"/>
      <w:kern w:val="0"/>
      <w:szCs w:val="32"/>
    </w:rPr>
  </w:style>
  <w:style w:type="paragraph" w:styleId="3">
    <w:name w:val="heading 2"/>
    <w:basedOn w:val="1"/>
    <w:next w:val="1"/>
    <w:link w:val="13"/>
    <w:qFormat/>
    <w:uiPriority w:val="0"/>
    <w:pPr>
      <w:keepNext/>
      <w:keepLines/>
      <w:numPr>
        <w:ilvl w:val="1"/>
        <w:numId w:val="1"/>
      </w:numPr>
      <w:outlineLvl w:val="1"/>
    </w:pPr>
    <w:rPr>
      <w:rFonts w:ascii="Times New Roman" w:hAnsi="Times New Roman" w:eastAsia="楷体_GB2312" w:cs="Times New Roman"/>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0"/>
    <w:rPr>
      <w:rFonts w:ascii="黑体" w:hAnsi="黑体" w:eastAsia="黑体" w:cs="黑体"/>
      <w:spacing w:val="-6"/>
      <w:sz w:val="32"/>
      <w:szCs w:val="32"/>
    </w:rPr>
  </w:style>
  <w:style w:type="character" w:customStyle="1" w:styleId="13">
    <w:name w:val="标题 2 字符"/>
    <w:basedOn w:val="10"/>
    <w:link w:val="3"/>
    <w:qFormat/>
    <w:uiPriority w:val="0"/>
    <w:rPr>
      <w:rFonts w:ascii="Times New Roman" w:hAnsi="Times New Roman" w:eastAsia="楷体_GB2312" w:cs="Times New Roman"/>
      <w:b/>
      <w:bCs/>
      <w:sz w:val="28"/>
      <w:szCs w:val="32"/>
    </w:rPr>
  </w:style>
  <w:style w:type="paragraph" w:customStyle="1" w:styleId="1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5">
    <w:name w:val="页眉 字符"/>
    <w:basedOn w:val="10"/>
    <w:link w:val="7"/>
    <w:qFormat/>
    <w:uiPriority w:val="99"/>
    <w:rPr>
      <w:rFonts w:eastAsia="仿宋"/>
      <w:sz w:val="18"/>
      <w:szCs w:val="18"/>
    </w:rPr>
  </w:style>
  <w:style w:type="character" w:customStyle="1" w:styleId="16">
    <w:name w:val="页脚 字符"/>
    <w:basedOn w:val="10"/>
    <w:link w:val="6"/>
    <w:qFormat/>
    <w:uiPriority w:val="99"/>
    <w:rPr>
      <w:rFonts w:eastAsia="仿宋"/>
      <w:sz w:val="18"/>
      <w:szCs w:val="18"/>
    </w:rPr>
  </w:style>
  <w:style w:type="character" w:customStyle="1" w:styleId="17">
    <w:name w:val="批注框文本 字符"/>
    <w:basedOn w:val="10"/>
    <w:link w:val="5"/>
    <w:semiHidden/>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4219</Words>
  <Characters>4948</Characters>
  <Lines>37</Lines>
  <Paragraphs>10</Paragraphs>
  <TotalTime>105</TotalTime>
  <ScaleCrop>false</ScaleCrop>
  <LinksUpToDate>false</LinksUpToDate>
  <CharactersWithSpaces>4977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2024-04-01T07:14:00Z</dcterms:created>
  <dc:creator>Yongmei Chang/省建科</dc:creator>
  <cp:lastModifiedBy>童妙</cp:lastModifiedBy>
  <cp:lastPrinted>2024-04-10T01:22:00Z</cp:lastPrinted>
  <dcterms:modified xsi:type="dcterms:W3CDTF">2024-04-15T09:40:08Z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E831D98B7A514A759CAC23FEF68CCC31</vt:lpwstr>
  </property>
</Properties>
</file>