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0056084号</w:t>
      </w: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bookmarkEnd w:id="0"/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960" cy="2627630"/>
            <wp:effectExtent l="0" t="0" r="889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李佩珍住宅用地图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该宗地位于中山市南朗街道南朗村亨美亨安巷10号，不动产权证号为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0056084号</w:t>
      </w:r>
      <w:r>
        <w:rPr>
          <w:rFonts w:hint="eastAsia" w:ascii="仿宋" w:hAnsi="仿宋" w:eastAsia="仿宋" w:cs="仿宋"/>
          <w:sz w:val="30"/>
          <w:szCs w:val="30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农村宅基地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/住宅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170.40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/>
          <w:sz w:val="28"/>
          <w:szCs w:val="28"/>
          <w:lang w:eastAsia="zh-CN"/>
        </w:rPr>
        <w:t>李佩珍</w:t>
      </w:r>
      <w:r>
        <w:rPr>
          <w:rFonts w:hint="eastAsia" w:ascii="仿宋" w:hAnsi="仿宋" w:eastAsia="仿宋" w:cs="仿宋"/>
          <w:sz w:val="30"/>
          <w:szCs w:val="30"/>
        </w:rPr>
        <w:t>。现该单位申请按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农房管控标准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350㎡以下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标准申请规划用地变更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该用地位于《城际轨道交通“翠亨站”片区控制性详细规划》，为建设用地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3EAE5AEB"/>
    <w:rsid w:val="6A02619E"/>
    <w:rsid w:val="6AA40F0A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2024-03-27T03:20:57Z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