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74" w:lineRule="exact"/>
        <w:jc w:val="center"/>
        <w:textAlignment w:val="auto"/>
        <w:rPr>
          <w:rFonts w:ascii="方正小标宋简体" w:hAnsi="方正小标宋简体" w:eastAsia="方正小标宋简体" w:cs="方正小标宋简体"/>
          <w:color w:val="auto"/>
          <w:spacing w:val="-6"/>
          <w:kern w:val="0"/>
          <w:sz w:val="44"/>
          <w:szCs w:val="44"/>
          <w:highlight w:val="none"/>
          <w:u w:val="none"/>
        </w:rPr>
      </w:pPr>
      <w:r>
        <w:rPr>
          <w:rFonts w:hint="eastAsia" w:ascii="方正小标宋简体" w:hAnsi="方正小标宋简体" w:eastAsia="方正小标宋简体" w:cs="方正小标宋简体"/>
          <w:color w:val="auto"/>
          <w:spacing w:val="-6"/>
          <w:sz w:val="44"/>
          <w:szCs w:val="44"/>
          <w:highlight w:val="none"/>
          <w:u w:val="none"/>
          <w:lang w:eastAsia="zh-CN"/>
        </w:rPr>
        <w:t>中山市板芙镇白溪村经济联合社（地块A）项目低效工业用地改造方案</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p>
    <w:p>
      <w:pPr>
        <w:keepNext w:val="0"/>
        <w:keepLines w:val="0"/>
        <w:pageBreakBefore w:val="0"/>
        <w:widowControl/>
        <w:kinsoku/>
        <w:wordWrap/>
        <w:overflowPunct/>
        <w:topLinePunct w:val="0"/>
        <w:autoSpaceDE/>
        <w:autoSpaceDN/>
        <w:bidi w:val="0"/>
        <w:adjustRightInd w:val="0"/>
        <w:snapToGrid w:val="0"/>
        <w:spacing w:beforeLines="0" w:afterLines="0" w:line="574" w:lineRule="exact"/>
        <w:ind w:left="0" w:leftChars="0" w:right="0" w:rightChars="0" w:firstLine="616" w:firstLineChars="200"/>
        <w:jc w:val="left"/>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根据中山市城市更新(“三旧”改造)专项规划</w:t>
      </w:r>
      <w:r>
        <w:rPr>
          <w:rFonts w:hint="eastAsia" w:ascii="仿宋_GB2312" w:hAnsi="仿宋_GB2312" w:eastAsia="仿宋_GB2312" w:cs="仿宋_GB2312"/>
          <w:color w:val="auto"/>
          <w:spacing w:val="-6"/>
          <w:kern w:val="0"/>
          <w:sz w:val="32"/>
          <w:szCs w:val="32"/>
          <w:highlight w:val="none"/>
          <w:u w:val="none"/>
          <w:lang w:eastAsia="zh-CN"/>
        </w:rPr>
        <w:t>和现行控制性详细规划</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eastAsia="zh-CN"/>
        </w:rPr>
        <w:t>板芙</w:t>
      </w:r>
      <w:r>
        <w:rPr>
          <w:rFonts w:hint="eastAsia" w:ascii="仿宋_GB2312" w:hAnsi="仿宋_GB2312" w:eastAsia="仿宋_GB2312" w:cs="仿宋_GB2312"/>
          <w:color w:val="auto"/>
          <w:spacing w:val="-6"/>
          <w:kern w:val="0"/>
          <w:sz w:val="32"/>
          <w:szCs w:val="32"/>
          <w:highlight w:val="none"/>
          <w:u w:val="none"/>
        </w:rPr>
        <w:t>镇人民政府拟对位于</w:t>
      </w:r>
      <w:r>
        <w:rPr>
          <w:rFonts w:hint="eastAsia" w:ascii="仿宋_GB2312" w:hAnsi="仿宋_GB2312" w:eastAsia="仿宋_GB2312" w:cs="仿宋_GB2312"/>
          <w:color w:val="auto"/>
          <w:spacing w:val="-6"/>
          <w:kern w:val="0"/>
          <w:sz w:val="32"/>
          <w:szCs w:val="32"/>
          <w:highlight w:val="none"/>
          <w:u w:val="none"/>
          <w:lang w:eastAsia="zh-CN"/>
        </w:rPr>
        <w:t>板芙镇</w:t>
      </w:r>
      <w:r>
        <w:rPr>
          <w:rFonts w:hint="eastAsia" w:ascii="仿宋_GB2312" w:hAnsi="仿宋_GB2312" w:eastAsia="仿宋_GB2312" w:cs="仿宋_GB2312"/>
          <w:color w:val="auto"/>
          <w:spacing w:val="-6"/>
          <w:kern w:val="0"/>
          <w:sz w:val="32"/>
          <w:szCs w:val="32"/>
          <w:highlight w:val="none"/>
          <w:u w:val="none"/>
          <w:lang w:val="en-US" w:eastAsia="zh-CN"/>
        </w:rPr>
        <w:t>里溪村</w:t>
      </w:r>
      <w:r>
        <w:rPr>
          <w:rFonts w:hint="eastAsia" w:ascii="仿宋_GB2312" w:hAnsi="仿宋_GB2312" w:eastAsia="仿宋_GB2312" w:cs="仿宋_GB2312"/>
          <w:color w:val="auto"/>
          <w:spacing w:val="-6"/>
          <w:kern w:val="0"/>
          <w:sz w:val="32"/>
          <w:szCs w:val="32"/>
          <w:highlight w:val="none"/>
          <w:u w:val="none"/>
          <w:lang w:eastAsia="zh-CN"/>
        </w:rPr>
        <w:t>的白溪村经济联合社</w:t>
      </w:r>
      <w:r>
        <w:rPr>
          <w:rFonts w:hint="eastAsia" w:ascii="仿宋_GB2312" w:hAnsi="仿宋_GB2312" w:eastAsia="仿宋_GB2312" w:cs="仿宋_GB2312"/>
          <w:color w:val="auto"/>
          <w:spacing w:val="-6"/>
          <w:kern w:val="0"/>
          <w:sz w:val="32"/>
          <w:szCs w:val="32"/>
          <w:highlight w:val="none"/>
          <w:u w:val="none"/>
          <w:lang w:val="en-US" w:eastAsia="zh-CN"/>
        </w:rPr>
        <w:t>低效工业</w:t>
      </w:r>
      <w:r>
        <w:rPr>
          <w:rFonts w:hint="eastAsia" w:ascii="仿宋_GB2312" w:hAnsi="仿宋_GB2312" w:eastAsia="仿宋_GB2312" w:cs="仿宋_GB2312"/>
          <w:color w:val="auto"/>
          <w:spacing w:val="-6"/>
          <w:kern w:val="0"/>
          <w:sz w:val="32"/>
          <w:szCs w:val="32"/>
          <w:highlight w:val="none"/>
          <w:u w:val="none"/>
        </w:rPr>
        <w:t>用地进行</w:t>
      </w:r>
      <w:r>
        <w:rPr>
          <w:rFonts w:hint="eastAsia" w:ascii="仿宋_GB2312" w:hAnsi="仿宋_GB2312" w:eastAsia="仿宋_GB2312" w:cs="仿宋_GB2312"/>
          <w:color w:val="auto"/>
          <w:spacing w:val="-6"/>
          <w:kern w:val="0"/>
          <w:sz w:val="32"/>
          <w:szCs w:val="32"/>
          <w:highlight w:val="none"/>
          <w:u w:val="none"/>
          <w:lang w:val="en-US" w:eastAsia="zh-CN"/>
        </w:rPr>
        <w:t>改造</w:t>
      </w:r>
      <w:r>
        <w:rPr>
          <w:rFonts w:hint="eastAsia" w:ascii="仿宋_GB2312" w:hAnsi="仿宋_GB2312" w:eastAsia="仿宋_GB2312" w:cs="仿宋_GB2312"/>
          <w:color w:val="auto"/>
          <w:spacing w:val="-6"/>
          <w:kern w:val="0"/>
          <w:sz w:val="32"/>
          <w:szCs w:val="32"/>
          <w:highlight w:val="none"/>
          <w:u w:val="none"/>
        </w:rPr>
        <w:t>，由</w:t>
      </w:r>
      <w:r>
        <w:rPr>
          <w:rFonts w:hint="eastAsia" w:ascii="仿宋_GB2312" w:hAnsi="仿宋_GB2312" w:eastAsia="仿宋_GB2312" w:cs="仿宋_GB2312"/>
          <w:color w:val="auto"/>
          <w:spacing w:val="-6"/>
          <w:kern w:val="0"/>
          <w:sz w:val="32"/>
          <w:szCs w:val="32"/>
          <w:highlight w:val="none"/>
          <w:u w:val="none"/>
          <w:lang w:val="en-US" w:eastAsia="zh-CN"/>
        </w:rPr>
        <w:t>政府整备（收储）改造</w:t>
      </w:r>
      <w:r>
        <w:rPr>
          <w:rFonts w:hint="eastAsia" w:ascii="仿宋_GB2312" w:hAnsi="仿宋_GB2312" w:eastAsia="仿宋_GB2312" w:cs="仿宋_GB2312"/>
          <w:color w:val="auto"/>
          <w:spacing w:val="-6"/>
          <w:kern w:val="0"/>
          <w:sz w:val="32"/>
          <w:szCs w:val="32"/>
          <w:highlight w:val="none"/>
          <w:u w:val="none"/>
        </w:rPr>
        <w:t>，采取全面改造的改造方式。</w:t>
      </w:r>
      <w:r>
        <w:rPr>
          <w:rFonts w:hint="eastAsia" w:ascii="仿宋_GB2312" w:hAnsi="仿宋_GB2312" w:eastAsia="仿宋_GB2312" w:cs="仿宋_GB2312"/>
          <w:color w:val="auto"/>
          <w:spacing w:val="-6"/>
          <w:kern w:val="0"/>
          <w:sz w:val="32"/>
          <w:szCs w:val="32"/>
          <w:highlight w:val="none"/>
          <w:u w:val="none"/>
          <w:lang w:val="en-US" w:eastAsia="zh-CN"/>
        </w:rPr>
        <w:t>改造</w:t>
      </w:r>
      <w:r>
        <w:rPr>
          <w:rFonts w:hint="eastAsia" w:ascii="仿宋_GB2312" w:hAnsi="仿宋_GB2312" w:eastAsia="仿宋_GB2312" w:cs="仿宋_GB2312"/>
          <w:color w:val="auto"/>
          <w:spacing w:val="-6"/>
          <w:kern w:val="0"/>
          <w:sz w:val="32"/>
          <w:szCs w:val="32"/>
          <w:highlight w:val="none"/>
          <w:u w:val="none"/>
        </w:rPr>
        <w:t>方案如下：</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一、地块基本情况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 w:hAnsi="楷体" w:eastAsia="楷体" w:cs="楷体"/>
          <w:color w:val="auto"/>
          <w:spacing w:val="-6"/>
          <w:sz w:val="32"/>
          <w:szCs w:val="32"/>
          <w:highlight w:val="none"/>
          <w:u w:val="none"/>
          <w:lang w:eastAsia="zh-CN"/>
        </w:rPr>
      </w:pPr>
      <w:r>
        <w:rPr>
          <w:rFonts w:hint="eastAsia" w:ascii="楷体" w:hAnsi="楷体" w:eastAsia="楷体" w:cs="楷体"/>
          <w:color w:val="auto"/>
          <w:spacing w:val="-6"/>
          <w:sz w:val="32"/>
          <w:szCs w:val="32"/>
          <w:highlight w:val="none"/>
          <w:u w:val="none"/>
        </w:rPr>
        <w:t>（一）总体情况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szCs w:val="32"/>
          <w:highlight w:val="none"/>
          <w:u w:val="none"/>
          <w:lang w:val="en-US" w:eastAsia="zh-CN"/>
        </w:rPr>
        <w:t>改造</w:t>
      </w:r>
      <w:r>
        <w:rPr>
          <w:rFonts w:hint="eastAsia" w:ascii="仿宋_GB2312" w:hAnsi="仿宋_GB2312" w:eastAsia="仿宋_GB2312" w:cs="仿宋_GB2312"/>
          <w:color w:val="auto"/>
          <w:spacing w:val="-6"/>
          <w:sz w:val="32"/>
          <w:szCs w:val="32"/>
          <w:highlight w:val="none"/>
          <w:u w:val="none"/>
        </w:rPr>
        <w:t>地块</w:t>
      </w:r>
      <w:r>
        <w:rPr>
          <w:rFonts w:hint="eastAsia" w:ascii="仿宋_GB2312" w:hAnsi="仿宋_GB2312" w:eastAsia="仿宋_GB2312" w:cs="仿宋_GB2312"/>
          <w:color w:val="auto"/>
          <w:spacing w:val="-6"/>
          <w:kern w:val="0"/>
          <w:sz w:val="32"/>
          <w:szCs w:val="32"/>
          <w:highlight w:val="none"/>
          <w:u w:val="none"/>
        </w:rPr>
        <w:t>位于</w:t>
      </w:r>
      <w:r>
        <w:rPr>
          <w:rFonts w:hint="eastAsia" w:ascii="仿宋_GB2312" w:hAnsi="仿宋_GB2312" w:eastAsia="仿宋_GB2312" w:cs="仿宋_GB2312"/>
          <w:color w:val="auto"/>
          <w:spacing w:val="-6"/>
          <w:kern w:val="0"/>
          <w:sz w:val="32"/>
          <w:szCs w:val="32"/>
          <w:highlight w:val="none"/>
          <w:u w:val="none"/>
          <w:lang w:eastAsia="zh-CN"/>
        </w:rPr>
        <w:t>板芙镇</w:t>
      </w:r>
      <w:r>
        <w:rPr>
          <w:rFonts w:hint="eastAsia" w:ascii="仿宋_GB2312" w:hAnsi="仿宋_GB2312" w:eastAsia="仿宋_GB2312" w:cs="仿宋_GB2312"/>
          <w:color w:val="auto"/>
          <w:spacing w:val="-6"/>
          <w:kern w:val="0"/>
          <w:sz w:val="32"/>
          <w:szCs w:val="32"/>
          <w:highlight w:val="none"/>
          <w:u w:val="none"/>
          <w:lang w:val="en-US" w:eastAsia="zh-CN"/>
        </w:rPr>
        <w:t>里溪村</w:t>
      </w:r>
      <w:r>
        <w:rPr>
          <w:rFonts w:hint="eastAsia" w:ascii="仿宋_GB2312" w:hAnsi="仿宋_GB2312" w:eastAsia="仿宋_GB2312" w:cs="仿宋_GB2312"/>
          <w:color w:val="auto"/>
          <w:spacing w:val="-6"/>
          <w:kern w:val="0"/>
          <w:sz w:val="32"/>
          <w:szCs w:val="32"/>
          <w:highlight w:val="none"/>
          <w:u w:val="none"/>
        </w:rPr>
        <w:t>，北至</w:t>
      </w:r>
      <w:r>
        <w:rPr>
          <w:rFonts w:hint="eastAsia" w:ascii="仿宋_GB2312" w:hAnsi="仿宋_GB2312" w:eastAsia="仿宋_GB2312" w:cs="仿宋_GB2312"/>
          <w:color w:val="auto"/>
          <w:spacing w:val="-6"/>
          <w:kern w:val="0"/>
          <w:sz w:val="32"/>
          <w:szCs w:val="32"/>
          <w:highlight w:val="none"/>
          <w:u w:val="none"/>
          <w:lang w:eastAsia="zh-CN"/>
        </w:rPr>
        <w:t>金钟涌</w:t>
      </w:r>
      <w:r>
        <w:rPr>
          <w:rFonts w:hint="eastAsia" w:ascii="仿宋_GB2312" w:hAnsi="仿宋_GB2312" w:eastAsia="仿宋_GB2312" w:cs="仿宋_GB2312"/>
          <w:color w:val="auto"/>
          <w:spacing w:val="-6"/>
          <w:kern w:val="0"/>
          <w:sz w:val="32"/>
          <w:szCs w:val="32"/>
          <w:highlight w:val="none"/>
          <w:u w:val="none"/>
        </w:rPr>
        <w:t>，南至</w:t>
      </w:r>
      <w:r>
        <w:rPr>
          <w:rFonts w:hint="eastAsia" w:ascii="仿宋_GB2312" w:hAnsi="仿宋_GB2312" w:eastAsia="仿宋_GB2312" w:cs="仿宋_GB2312"/>
          <w:i w:val="0"/>
          <w:iCs w:val="0"/>
          <w:caps w:val="0"/>
          <w:color w:val="auto"/>
          <w:spacing w:val="-6"/>
          <w:kern w:val="0"/>
          <w:sz w:val="32"/>
          <w:szCs w:val="32"/>
          <w:highlight w:val="none"/>
          <w:u w:val="none"/>
          <w:shd w:val="clear" w:fill="auto"/>
        </w:rPr>
        <w:t>辉宏机电工程（深圳）有限公司</w:t>
      </w:r>
      <w:r>
        <w:rPr>
          <w:rFonts w:hint="eastAsia" w:ascii="仿宋_GB2312" w:hAnsi="仿宋_GB2312" w:eastAsia="仿宋_GB2312" w:cs="仿宋_GB2312"/>
          <w:color w:val="auto"/>
          <w:spacing w:val="-6"/>
          <w:kern w:val="0"/>
          <w:sz w:val="32"/>
          <w:szCs w:val="32"/>
          <w:highlight w:val="none"/>
          <w:u w:val="none"/>
        </w:rPr>
        <w:t>，西至新联街，东至</w:t>
      </w:r>
      <w:r>
        <w:rPr>
          <w:rFonts w:hint="eastAsia" w:ascii="仿宋_GB2312" w:hAnsi="仿宋_GB2312" w:eastAsia="仿宋_GB2312" w:cs="仿宋_GB2312"/>
          <w:color w:val="auto"/>
          <w:spacing w:val="-6"/>
          <w:kern w:val="0"/>
          <w:sz w:val="32"/>
          <w:szCs w:val="32"/>
          <w:highlight w:val="none"/>
          <w:u w:val="none"/>
          <w:lang w:eastAsia="zh-CN"/>
        </w:rPr>
        <w:t>胜景路</w:t>
      </w:r>
      <w:r>
        <w:rPr>
          <w:rFonts w:hint="eastAsia" w:ascii="仿宋_GB2312" w:hAnsi="仿宋_GB2312" w:eastAsia="仿宋_GB2312" w:cs="仿宋_GB2312"/>
          <w:color w:val="auto"/>
          <w:spacing w:val="-6"/>
          <w:kern w:val="0"/>
          <w:sz w:val="32"/>
          <w:szCs w:val="32"/>
          <w:highlight w:val="none"/>
          <w:u w:val="none"/>
        </w:rPr>
        <w:t>，用地面积</w:t>
      </w:r>
      <w:r>
        <w:rPr>
          <w:rFonts w:hint="eastAsia" w:ascii="仿宋_GB2312" w:hAnsi="仿宋_GB2312" w:eastAsia="仿宋_GB2312" w:cs="仿宋_GB2312"/>
          <w:color w:val="auto"/>
          <w:spacing w:val="-6"/>
          <w:kern w:val="0"/>
          <w:sz w:val="32"/>
          <w:szCs w:val="32"/>
          <w:highlight w:val="none"/>
          <w:u w:val="none"/>
          <w:lang w:val="en-US" w:eastAsia="zh-CN"/>
        </w:rPr>
        <w:t>1.5940</w:t>
      </w:r>
      <w:r>
        <w:rPr>
          <w:rFonts w:hint="eastAsia" w:ascii="仿宋_GB2312" w:hAnsi="仿宋_GB2312" w:eastAsia="仿宋_GB2312" w:cs="仿宋_GB2312"/>
          <w:color w:val="auto"/>
          <w:spacing w:val="-6"/>
          <w:kern w:val="0"/>
          <w:sz w:val="32"/>
          <w:szCs w:val="32"/>
          <w:highlight w:val="none"/>
          <w:u w:val="none"/>
        </w:rPr>
        <w:t>公顷（</w:t>
      </w:r>
      <w:r>
        <w:rPr>
          <w:rFonts w:hint="eastAsia" w:ascii="仿宋_GB2312" w:hAnsi="仿宋_GB2312" w:eastAsia="仿宋_GB2312" w:cs="仿宋_GB2312"/>
          <w:color w:val="auto"/>
          <w:spacing w:val="-6"/>
          <w:kern w:val="0"/>
          <w:sz w:val="32"/>
          <w:szCs w:val="32"/>
          <w:highlight w:val="none"/>
          <w:u w:val="none"/>
          <w:lang w:val="en-US" w:eastAsia="zh-CN"/>
        </w:rPr>
        <w:t>15940.00</w:t>
      </w:r>
      <w:r>
        <w:rPr>
          <w:rFonts w:hint="eastAsia" w:ascii="仿宋_GB2312" w:hAnsi="仿宋_GB2312" w:eastAsia="仿宋_GB2312" w:cs="仿宋_GB2312"/>
          <w:color w:val="auto"/>
          <w:spacing w:val="-6"/>
          <w:kern w:val="0"/>
          <w:sz w:val="32"/>
          <w:szCs w:val="32"/>
          <w:highlight w:val="none"/>
          <w:u w:val="none"/>
        </w:rPr>
        <w:t>平方米，折合约</w:t>
      </w:r>
      <w:r>
        <w:rPr>
          <w:rFonts w:hint="eastAsia" w:ascii="仿宋_GB2312" w:hAnsi="仿宋_GB2312" w:eastAsia="仿宋_GB2312" w:cs="仿宋_GB2312"/>
          <w:color w:val="auto"/>
          <w:spacing w:val="-6"/>
          <w:kern w:val="0"/>
          <w:sz w:val="32"/>
          <w:szCs w:val="32"/>
          <w:highlight w:val="none"/>
          <w:u w:val="none"/>
          <w:lang w:val="en-US" w:eastAsia="zh-CN"/>
        </w:rPr>
        <w:t>23.91</w:t>
      </w:r>
      <w:r>
        <w:rPr>
          <w:rFonts w:hint="eastAsia" w:ascii="仿宋_GB2312" w:hAnsi="仿宋_GB2312" w:eastAsia="仿宋_GB2312" w:cs="仿宋_GB2312"/>
          <w:color w:val="auto"/>
          <w:spacing w:val="-6"/>
          <w:kern w:val="0"/>
          <w:sz w:val="32"/>
          <w:szCs w:val="32"/>
          <w:highlight w:val="none"/>
          <w:u w:val="none"/>
        </w:rPr>
        <w:t>亩）。</w:t>
      </w:r>
    </w:p>
    <w:p>
      <w:pPr>
        <w:numPr>
          <w:ilvl w:val="-1"/>
          <w:numId w:val="0"/>
        </w:numPr>
        <w:adjustRightInd w:val="0"/>
        <w:snapToGrid w:val="0"/>
        <w:spacing w:beforeLines="0" w:afterLines="0" w:line="574" w:lineRule="exact"/>
        <w:ind w:firstLine="616" w:firstLineChars="200"/>
        <w:outlineLvl w:val="9"/>
        <w:rPr>
          <w:rFonts w:hint="eastAsia" w:ascii="楷体" w:hAnsi="楷体" w:eastAsia="楷体" w:cs="楷体"/>
          <w:color w:val="auto"/>
          <w:spacing w:val="-6"/>
          <w:kern w:val="2"/>
          <w:sz w:val="32"/>
          <w:szCs w:val="32"/>
          <w:highlight w:val="none"/>
          <w:u w:val="none"/>
          <w:lang w:eastAsia="zh-CN"/>
        </w:rPr>
      </w:pPr>
      <w:r>
        <w:rPr>
          <w:rFonts w:hint="eastAsia" w:ascii="楷体" w:hAnsi="楷体" w:eastAsia="楷体" w:cs="楷体"/>
          <w:color w:val="auto"/>
          <w:spacing w:val="-6"/>
          <w:kern w:val="2"/>
          <w:sz w:val="32"/>
          <w:szCs w:val="32"/>
          <w:highlight w:val="none"/>
          <w:u w:val="none"/>
        </w:rPr>
        <w:t>（二）</w:t>
      </w:r>
      <w:r>
        <w:rPr>
          <w:rFonts w:hint="eastAsia" w:ascii="楷体" w:hAnsi="楷体" w:eastAsia="楷体" w:cs="楷体"/>
          <w:color w:val="auto"/>
          <w:spacing w:val="-6"/>
          <w:kern w:val="2"/>
          <w:sz w:val="32"/>
          <w:szCs w:val="32"/>
          <w:highlight w:val="none"/>
          <w:u w:val="none"/>
          <w:lang w:eastAsia="zh-CN"/>
        </w:rPr>
        <w:t>标图入库情况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highlight w:val="none"/>
          <w:u w:val="none"/>
          <w:lang w:eastAsia="zh-CN"/>
        </w:rPr>
      </w:pPr>
      <w:r>
        <w:rPr>
          <w:rFonts w:hint="eastAsia" w:ascii="仿宋_GB2312" w:hAnsi="仿宋_GB2312" w:eastAsia="仿宋_GB2312" w:cs="仿宋_GB2312"/>
          <w:color w:val="auto"/>
          <w:spacing w:val="-6"/>
          <w:sz w:val="32"/>
          <w:szCs w:val="32"/>
          <w:highlight w:val="none"/>
          <w:u w:val="none"/>
          <w:lang w:val="en-US" w:eastAsia="zh-CN"/>
        </w:rPr>
        <w:t>改造地块内2009年12月31日前未实施建设，无上盖物；</w:t>
      </w:r>
      <w:r>
        <w:rPr>
          <w:rFonts w:hint="eastAsia" w:ascii="仿宋_GB2312" w:hAnsi="仿宋_GB2312" w:eastAsia="仿宋_GB2312" w:cs="仿宋_GB2312"/>
          <w:color w:val="auto"/>
          <w:spacing w:val="-6"/>
          <w:kern w:val="0"/>
          <w:sz w:val="32"/>
          <w:szCs w:val="32"/>
          <w:lang w:val="en-US" w:eastAsia="zh-CN"/>
        </w:rPr>
        <w:t>项目部分用地在第二次全国土地调查和最新土地地类调查中为非建设用地，</w:t>
      </w:r>
      <w:r>
        <w:rPr>
          <w:rFonts w:hint="eastAsia" w:ascii="仿宋_GB2312" w:hAnsi="仿宋_GB2312" w:eastAsia="仿宋_GB2312" w:cs="仿宋_GB2312"/>
          <w:color w:val="auto"/>
          <w:spacing w:val="-6"/>
          <w:sz w:val="32"/>
          <w:szCs w:val="32"/>
          <w:highlight w:val="none"/>
          <w:u w:val="none"/>
          <w:lang w:val="en-US" w:eastAsia="zh-CN"/>
        </w:rPr>
        <w:t>不符合“三旧”改造标图建库要求</w:t>
      </w:r>
      <w:r>
        <w:rPr>
          <w:rFonts w:hint="eastAsia" w:ascii="仿宋_GB2312" w:hAnsi="仿宋_GB2312" w:eastAsia="仿宋_GB2312" w:cs="仿宋_GB2312"/>
          <w:color w:val="auto"/>
          <w:spacing w:val="-6"/>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 w:hAnsi="楷体" w:eastAsia="楷体" w:cs="楷体"/>
          <w:color w:val="auto"/>
          <w:spacing w:val="-6"/>
          <w:sz w:val="32"/>
          <w:szCs w:val="32"/>
          <w:highlight w:val="none"/>
          <w:u w:val="none"/>
          <w:lang w:eastAsia="zh-CN"/>
        </w:rPr>
      </w:pPr>
      <w:r>
        <w:rPr>
          <w:rFonts w:hint="eastAsia" w:ascii="楷体" w:hAnsi="楷体" w:eastAsia="楷体" w:cs="楷体"/>
          <w:color w:val="auto"/>
          <w:spacing w:val="-6"/>
          <w:sz w:val="32"/>
          <w:szCs w:val="32"/>
          <w:highlight w:val="none"/>
          <w:u w:val="none"/>
        </w:rPr>
        <w:t>（</w:t>
      </w:r>
      <w:r>
        <w:rPr>
          <w:rFonts w:hint="eastAsia" w:ascii="楷体" w:hAnsi="楷体" w:eastAsia="楷体" w:cs="楷体"/>
          <w:color w:val="auto"/>
          <w:spacing w:val="-6"/>
          <w:sz w:val="32"/>
          <w:szCs w:val="32"/>
          <w:highlight w:val="none"/>
          <w:u w:val="none"/>
          <w:lang w:val="en-US" w:eastAsia="zh-CN"/>
        </w:rPr>
        <w:t>三</w:t>
      </w:r>
      <w:r>
        <w:rPr>
          <w:rFonts w:hint="eastAsia" w:ascii="楷体" w:hAnsi="楷体" w:eastAsia="楷体" w:cs="楷体"/>
          <w:color w:val="auto"/>
          <w:spacing w:val="-6"/>
          <w:sz w:val="32"/>
          <w:szCs w:val="32"/>
          <w:highlight w:val="none"/>
          <w:u w:val="none"/>
        </w:rPr>
        <w:t>）权属情况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592"/>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w:t>
      </w:r>
      <w:r>
        <w:rPr>
          <w:rFonts w:hint="eastAsia" w:ascii="仿宋_GB2312" w:hAnsi="仿宋_GB2312" w:eastAsia="仿宋_GB2312" w:cs="仿宋_GB2312"/>
          <w:color w:val="auto"/>
          <w:spacing w:val="-6"/>
          <w:kern w:val="0"/>
          <w:sz w:val="32"/>
          <w:szCs w:val="32"/>
          <w:highlight w:val="none"/>
          <w:u w:val="none"/>
          <w:lang w:eastAsia="zh-CN"/>
        </w:rPr>
        <w:t>地块</w:t>
      </w:r>
      <w:r>
        <w:rPr>
          <w:rFonts w:hint="eastAsia" w:ascii="仿宋_GB2312" w:hAnsi="仿宋_GB2312" w:eastAsia="仿宋_GB2312" w:cs="仿宋_GB2312"/>
          <w:color w:val="auto"/>
          <w:spacing w:val="-6"/>
          <w:kern w:val="0"/>
          <w:sz w:val="32"/>
          <w:szCs w:val="32"/>
          <w:highlight w:val="none"/>
          <w:u w:val="none"/>
        </w:rPr>
        <w:t>属国有建设用地，土地用途为工业，改造涉及的土地已经确权、登记，土地证号为中府国用(2015)第3000140号，</w:t>
      </w:r>
      <w:r>
        <w:rPr>
          <w:rFonts w:hint="eastAsia" w:ascii="仿宋_GB2312" w:hAnsi="仿宋_GB2312" w:eastAsia="仿宋_GB2312" w:cs="仿宋_GB2312"/>
          <w:color w:val="auto"/>
          <w:spacing w:val="-6"/>
          <w:kern w:val="0"/>
          <w:sz w:val="32"/>
          <w:szCs w:val="32"/>
          <w:highlight w:val="none"/>
          <w:u w:val="none"/>
          <w:lang w:eastAsia="zh-CN"/>
        </w:rPr>
        <w:t>为</w:t>
      </w:r>
      <w:r>
        <w:rPr>
          <w:rFonts w:hint="eastAsia" w:ascii="仿宋_GB2312" w:hAnsi="仿宋_GB2312" w:eastAsia="仿宋_GB2312" w:cs="仿宋_GB2312"/>
          <w:color w:val="auto"/>
          <w:spacing w:val="-6"/>
          <w:kern w:val="0"/>
          <w:sz w:val="32"/>
          <w:szCs w:val="32"/>
          <w:highlight w:val="none"/>
          <w:u w:val="none"/>
        </w:rPr>
        <w:t>土地</w:t>
      </w:r>
      <w:r>
        <w:rPr>
          <w:rFonts w:hint="eastAsia" w:ascii="仿宋_GB2312" w:hAnsi="仿宋_GB2312" w:eastAsia="仿宋_GB2312" w:cs="仿宋_GB2312"/>
          <w:color w:val="auto"/>
          <w:spacing w:val="-6"/>
          <w:kern w:val="0"/>
          <w:sz w:val="32"/>
          <w:szCs w:val="32"/>
          <w:highlight w:val="none"/>
          <w:u w:val="none"/>
          <w:lang w:val="en-US" w:eastAsia="zh-CN"/>
        </w:rPr>
        <w:t>产权</w:t>
      </w:r>
      <w:r>
        <w:rPr>
          <w:rFonts w:hint="eastAsia" w:ascii="仿宋_GB2312" w:hAnsi="仿宋_GB2312" w:eastAsia="仿宋_GB2312" w:cs="仿宋_GB2312"/>
          <w:color w:val="auto"/>
          <w:spacing w:val="-6"/>
          <w:kern w:val="0"/>
          <w:sz w:val="32"/>
          <w:szCs w:val="32"/>
          <w:highlight w:val="none"/>
          <w:u w:val="none"/>
        </w:rPr>
        <w:t>人中山市板芙镇白溪村经济联合社自</w:t>
      </w:r>
      <w:r>
        <w:rPr>
          <w:rFonts w:hint="eastAsia" w:ascii="仿宋_GB2312" w:hAnsi="仿宋_GB2312" w:eastAsia="仿宋_GB2312" w:cs="仿宋_GB2312"/>
          <w:color w:val="auto"/>
          <w:spacing w:val="-6"/>
          <w:kern w:val="0"/>
          <w:sz w:val="32"/>
          <w:szCs w:val="32"/>
          <w:highlight w:val="none"/>
          <w:u w:val="none"/>
          <w:lang w:val="en-US" w:eastAsia="zh-CN"/>
        </w:rPr>
        <w:t>2015年7月开始</w:t>
      </w:r>
      <w:r>
        <w:rPr>
          <w:rFonts w:hint="eastAsia" w:ascii="仿宋_GB2312" w:hAnsi="仿宋_GB2312" w:eastAsia="仿宋_GB2312" w:cs="仿宋_GB2312"/>
          <w:color w:val="auto"/>
          <w:spacing w:val="-6"/>
          <w:kern w:val="0"/>
          <w:sz w:val="32"/>
          <w:szCs w:val="32"/>
          <w:highlight w:val="none"/>
          <w:u w:val="none"/>
        </w:rPr>
        <w:t>使用。</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 w:hAnsi="楷体" w:eastAsia="楷体" w:cs="楷体"/>
          <w:color w:val="auto"/>
          <w:spacing w:val="-6"/>
          <w:sz w:val="32"/>
          <w:szCs w:val="32"/>
          <w:highlight w:val="none"/>
          <w:u w:val="none"/>
          <w:lang w:eastAsia="zh-CN"/>
        </w:rPr>
      </w:pPr>
      <w:r>
        <w:rPr>
          <w:rFonts w:hint="eastAsia" w:ascii="楷体" w:hAnsi="楷体" w:eastAsia="楷体" w:cs="楷体"/>
          <w:color w:val="auto"/>
          <w:spacing w:val="-6"/>
          <w:sz w:val="32"/>
          <w:szCs w:val="32"/>
          <w:highlight w:val="none"/>
          <w:u w:val="none"/>
        </w:rPr>
        <w:t>（</w:t>
      </w:r>
      <w:r>
        <w:rPr>
          <w:rFonts w:hint="eastAsia" w:ascii="楷体" w:hAnsi="楷体" w:eastAsia="楷体" w:cs="楷体"/>
          <w:color w:val="auto"/>
          <w:spacing w:val="-6"/>
          <w:sz w:val="32"/>
          <w:szCs w:val="32"/>
          <w:highlight w:val="none"/>
          <w:u w:val="none"/>
          <w:lang w:val="en-US" w:eastAsia="zh-CN"/>
        </w:rPr>
        <w:t>四</w:t>
      </w:r>
      <w:r>
        <w:rPr>
          <w:rFonts w:hint="eastAsia" w:ascii="楷体" w:hAnsi="楷体" w:eastAsia="楷体" w:cs="楷体"/>
          <w:color w:val="auto"/>
          <w:spacing w:val="-6"/>
          <w:sz w:val="32"/>
          <w:szCs w:val="32"/>
          <w:highlight w:val="none"/>
          <w:u w:val="none"/>
        </w:rPr>
        <w:t>）土地利用现状情况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w:t>
      </w:r>
      <w:r>
        <w:rPr>
          <w:rFonts w:hint="eastAsia" w:ascii="仿宋_GB2312" w:hAnsi="仿宋_GB2312" w:eastAsia="仿宋_GB2312" w:cs="仿宋_GB2312"/>
          <w:color w:val="auto"/>
          <w:spacing w:val="-6"/>
          <w:kern w:val="0"/>
          <w:sz w:val="32"/>
          <w:szCs w:val="32"/>
          <w:highlight w:val="none"/>
          <w:u w:val="none"/>
          <w:lang w:eastAsia="zh-CN"/>
        </w:rPr>
        <w:t>范围内</w:t>
      </w:r>
      <w:r>
        <w:rPr>
          <w:rFonts w:hint="eastAsia" w:ascii="仿宋_GB2312" w:hAnsi="仿宋_GB2312" w:eastAsia="仿宋_GB2312" w:cs="仿宋_GB2312"/>
          <w:color w:val="auto"/>
          <w:spacing w:val="-6"/>
          <w:kern w:val="0"/>
          <w:sz w:val="32"/>
          <w:szCs w:val="32"/>
          <w:highlight w:val="none"/>
          <w:u w:val="none"/>
        </w:rPr>
        <w:t>现有</w:t>
      </w:r>
      <w:r>
        <w:rPr>
          <w:rFonts w:hint="eastAsia" w:ascii="仿宋_GB2312" w:hAnsi="仿宋_GB2312" w:eastAsia="仿宋_GB2312" w:cs="仿宋_GB2312"/>
          <w:color w:val="auto"/>
          <w:spacing w:val="-6"/>
          <w:kern w:val="0"/>
          <w:sz w:val="32"/>
          <w:szCs w:val="32"/>
          <w:highlight w:val="none"/>
          <w:u w:val="none"/>
          <w:lang w:val="en-US" w:eastAsia="zh-CN"/>
        </w:rPr>
        <w:t>2</w:t>
      </w:r>
      <w:r>
        <w:rPr>
          <w:rFonts w:hint="eastAsia" w:ascii="仿宋_GB2312" w:hAnsi="仿宋_GB2312" w:eastAsia="仿宋_GB2312" w:cs="仿宋_GB2312"/>
          <w:color w:val="auto"/>
          <w:spacing w:val="-6"/>
          <w:kern w:val="0"/>
          <w:sz w:val="32"/>
          <w:szCs w:val="32"/>
          <w:highlight w:val="none"/>
          <w:u w:val="none"/>
        </w:rPr>
        <w:t>栋建筑物，为中山市板芙镇白溪村经济联合社自</w:t>
      </w:r>
      <w:r>
        <w:rPr>
          <w:rFonts w:hint="eastAsia" w:ascii="仿宋_GB2312" w:hAnsi="仿宋_GB2312" w:eastAsia="仿宋_GB2312" w:cs="仿宋_GB2312"/>
          <w:color w:val="auto"/>
          <w:spacing w:val="-6"/>
          <w:kern w:val="0"/>
          <w:sz w:val="32"/>
          <w:szCs w:val="32"/>
          <w:highlight w:val="none"/>
          <w:u w:val="none"/>
          <w:lang w:val="en-US" w:eastAsia="zh-CN"/>
        </w:rPr>
        <w:t>2015</w:t>
      </w:r>
      <w:r>
        <w:rPr>
          <w:rFonts w:hint="eastAsia" w:ascii="仿宋_GB2312" w:hAnsi="仿宋_GB2312" w:eastAsia="仿宋_GB2312" w:cs="仿宋_GB2312"/>
          <w:color w:val="auto"/>
          <w:spacing w:val="-6"/>
          <w:kern w:val="0"/>
          <w:sz w:val="32"/>
          <w:szCs w:val="32"/>
          <w:highlight w:val="none"/>
          <w:u w:val="none"/>
        </w:rPr>
        <w:t>年</w:t>
      </w:r>
      <w:r>
        <w:rPr>
          <w:rFonts w:hint="eastAsia" w:ascii="仿宋_GB2312" w:hAnsi="仿宋_GB2312" w:eastAsia="仿宋_GB2312" w:cs="仿宋_GB2312"/>
          <w:color w:val="auto"/>
          <w:spacing w:val="-6"/>
          <w:kern w:val="0"/>
          <w:sz w:val="32"/>
          <w:szCs w:val="32"/>
          <w:highlight w:val="none"/>
          <w:u w:val="none"/>
          <w:lang w:val="en-US" w:eastAsia="zh-CN"/>
        </w:rPr>
        <w:t>7</w:t>
      </w:r>
      <w:r>
        <w:rPr>
          <w:rFonts w:hint="eastAsia" w:ascii="仿宋_GB2312" w:hAnsi="仿宋_GB2312" w:eastAsia="仿宋_GB2312" w:cs="仿宋_GB2312"/>
          <w:color w:val="auto"/>
          <w:spacing w:val="-6"/>
          <w:kern w:val="0"/>
          <w:sz w:val="32"/>
          <w:szCs w:val="32"/>
          <w:highlight w:val="none"/>
          <w:u w:val="none"/>
        </w:rPr>
        <w:t>月开始使用。</w:t>
      </w:r>
      <w:r>
        <w:rPr>
          <w:rFonts w:hint="eastAsia" w:ascii="仿宋_GB2312" w:hAnsi="仿宋_GB2312" w:eastAsia="仿宋_GB2312" w:cs="仿宋_GB2312"/>
          <w:color w:val="auto"/>
          <w:spacing w:val="-6"/>
          <w:kern w:val="0"/>
          <w:sz w:val="32"/>
          <w:szCs w:val="32"/>
          <w:highlight w:val="none"/>
          <w:u w:val="none"/>
          <w:lang w:eastAsia="zh-CN"/>
        </w:rPr>
        <w:t>未办理</w:t>
      </w:r>
      <w:r>
        <w:rPr>
          <w:rFonts w:hint="eastAsia" w:ascii="仿宋_GB2312" w:hAnsi="仿宋_GB2312" w:eastAsia="仿宋_GB2312" w:cs="仿宋_GB2312"/>
          <w:color w:val="auto"/>
          <w:spacing w:val="-6"/>
          <w:kern w:val="0"/>
          <w:sz w:val="32"/>
          <w:szCs w:val="32"/>
          <w:highlight w:val="none"/>
          <w:u w:val="none"/>
        </w:rPr>
        <w:t>规划报建手续，现有建筑面积</w:t>
      </w:r>
      <w:r>
        <w:rPr>
          <w:rFonts w:hint="eastAsia" w:ascii="仿宋_GB2312" w:hAnsi="仿宋_GB2312" w:eastAsia="仿宋_GB2312" w:cs="仿宋_GB2312"/>
          <w:color w:val="auto"/>
          <w:spacing w:val="-6"/>
          <w:kern w:val="0"/>
          <w:sz w:val="32"/>
          <w:szCs w:val="32"/>
          <w:highlight w:val="none"/>
          <w:u w:val="none"/>
          <w:lang w:val="en-US" w:eastAsia="zh-CN"/>
        </w:rPr>
        <w:t>13411.23</w:t>
      </w:r>
      <w:r>
        <w:rPr>
          <w:rFonts w:hint="eastAsia" w:ascii="仿宋_GB2312" w:hAnsi="仿宋_GB2312" w:eastAsia="仿宋_GB2312" w:cs="仿宋_GB2312"/>
          <w:color w:val="auto"/>
          <w:spacing w:val="-6"/>
          <w:kern w:val="0"/>
          <w:sz w:val="32"/>
          <w:szCs w:val="32"/>
          <w:highlight w:val="none"/>
          <w:u w:val="none"/>
        </w:rPr>
        <w:t>平方米，现状容积率</w:t>
      </w:r>
      <w:r>
        <w:rPr>
          <w:rFonts w:hint="eastAsia" w:ascii="仿宋_GB2312" w:hAnsi="仿宋_GB2312" w:eastAsia="仿宋_GB2312" w:cs="仿宋_GB2312"/>
          <w:color w:val="auto"/>
          <w:spacing w:val="-6"/>
          <w:kern w:val="0"/>
          <w:sz w:val="32"/>
          <w:szCs w:val="32"/>
          <w:highlight w:val="none"/>
          <w:u w:val="none"/>
          <w:lang w:val="en-US" w:eastAsia="zh-CN"/>
        </w:rPr>
        <w:t>0.84</w:t>
      </w:r>
      <w:r>
        <w:rPr>
          <w:rFonts w:hint="eastAsia" w:ascii="仿宋_GB2312" w:hAnsi="仿宋_GB2312" w:eastAsia="仿宋_GB2312" w:cs="仿宋_GB2312"/>
          <w:color w:val="auto"/>
          <w:spacing w:val="-6"/>
          <w:kern w:val="0"/>
          <w:sz w:val="32"/>
          <w:szCs w:val="32"/>
          <w:highlight w:val="none"/>
          <w:u w:val="none"/>
        </w:rPr>
        <w:t>，作工业厂房所用。该地块目前</w:t>
      </w:r>
      <w:r>
        <w:rPr>
          <w:rFonts w:hint="eastAsia" w:ascii="仿宋_GB2312" w:hAnsi="仿宋_GB2312" w:eastAsia="仿宋_GB2312" w:cs="仿宋_GB2312"/>
          <w:color w:val="auto"/>
          <w:spacing w:val="-6"/>
          <w:kern w:val="0"/>
          <w:sz w:val="32"/>
          <w:szCs w:val="32"/>
          <w:highlight w:val="none"/>
          <w:u w:val="none"/>
          <w:lang w:eastAsia="zh-CN"/>
        </w:rPr>
        <w:t>未拆除</w:t>
      </w:r>
      <w:r>
        <w:rPr>
          <w:rFonts w:hint="eastAsia" w:ascii="仿宋_GB2312" w:hAnsi="仿宋_GB2312" w:eastAsia="仿宋_GB2312" w:cs="仿宋_GB2312"/>
          <w:color w:val="auto"/>
          <w:spacing w:val="-6"/>
          <w:kern w:val="0"/>
          <w:sz w:val="32"/>
          <w:szCs w:val="32"/>
          <w:highlight w:val="none"/>
          <w:u w:val="none"/>
        </w:rPr>
        <w:t>，改造前年产值为</w:t>
      </w:r>
      <w:r>
        <w:rPr>
          <w:rFonts w:hint="eastAsia" w:ascii="仿宋_GB2312" w:hAnsi="仿宋_GB2312" w:eastAsia="仿宋_GB2312" w:cs="仿宋_GB2312"/>
          <w:color w:val="auto"/>
          <w:spacing w:val="-6"/>
          <w:kern w:val="0"/>
          <w:sz w:val="32"/>
          <w:szCs w:val="32"/>
          <w:highlight w:val="none"/>
          <w:u w:val="none"/>
          <w:lang w:val="en-US" w:eastAsia="zh-CN"/>
        </w:rPr>
        <w:t>1830</w:t>
      </w:r>
      <w:r>
        <w:rPr>
          <w:rFonts w:hint="eastAsia" w:ascii="仿宋_GB2312" w:hAnsi="仿宋_GB2312" w:eastAsia="仿宋_GB2312" w:cs="仿宋_GB2312"/>
          <w:color w:val="auto"/>
          <w:spacing w:val="-6"/>
          <w:kern w:val="0"/>
          <w:sz w:val="32"/>
          <w:szCs w:val="32"/>
          <w:highlight w:val="none"/>
          <w:u w:val="none"/>
        </w:rPr>
        <w:t>万元</w:t>
      </w:r>
      <w:r>
        <w:rPr>
          <w:rFonts w:hint="eastAsia" w:ascii="仿宋_GB2312" w:hAnsi="仿宋_GB2312" w:eastAsia="仿宋_GB2312" w:cs="仿宋_GB2312"/>
          <w:color w:val="auto"/>
          <w:spacing w:val="-6"/>
          <w:kern w:val="0"/>
          <w:sz w:val="32"/>
          <w:szCs w:val="32"/>
          <w:highlight w:val="none"/>
          <w:u w:val="none"/>
          <w:lang w:eastAsia="zh-CN"/>
        </w:rPr>
        <w:t>（折合约</w:t>
      </w:r>
      <w:r>
        <w:rPr>
          <w:rFonts w:hint="eastAsia" w:ascii="仿宋_GB2312" w:hAnsi="仿宋_GB2312" w:eastAsia="仿宋_GB2312" w:cs="仿宋_GB2312"/>
          <w:color w:val="auto"/>
          <w:spacing w:val="-6"/>
          <w:kern w:val="0"/>
          <w:sz w:val="32"/>
          <w:szCs w:val="32"/>
          <w:highlight w:val="none"/>
          <w:u w:val="none"/>
          <w:lang w:val="en-US" w:eastAsia="zh-CN"/>
        </w:rPr>
        <w:t>76.54万/</w:t>
      </w:r>
      <w:r>
        <w:rPr>
          <w:rFonts w:hint="eastAsia" w:ascii="仿宋_GB2312" w:hAnsi="仿宋_GB2312" w:eastAsia="仿宋_GB2312" w:cs="仿宋_GB2312"/>
          <w:color w:val="auto"/>
          <w:spacing w:val="-6"/>
          <w:kern w:val="0"/>
          <w:sz w:val="32"/>
          <w:szCs w:val="32"/>
          <w:highlight w:val="none"/>
          <w:u w:val="none"/>
          <w:lang w:eastAsia="zh-CN"/>
        </w:rPr>
        <w:t>亩）</w:t>
      </w:r>
      <w:r>
        <w:rPr>
          <w:rFonts w:hint="eastAsia" w:ascii="仿宋_GB2312" w:hAnsi="仿宋_GB2312" w:eastAsia="仿宋_GB2312" w:cs="仿宋_GB2312"/>
          <w:color w:val="auto"/>
          <w:spacing w:val="-6"/>
          <w:kern w:val="0"/>
          <w:sz w:val="32"/>
          <w:szCs w:val="32"/>
          <w:highlight w:val="none"/>
          <w:u w:val="none"/>
        </w:rPr>
        <w:t>，年税收为65.1万元</w:t>
      </w:r>
      <w:r>
        <w:rPr>
          <w:rFonts w:hint="eastAsia" w:ascii="仿宋_GB2312" w:hAnsi="仿宋_GB2312" w:eastAsia="仿宋_GB2312" w:cs="仿宋_GB2312"/>
          <w:color w:val="auto"/>
          <w:spacing w:val="-6"/>
          <w:kern w:val="0"/>
          <w:sz w:val="32"/>
          <w:szCs w:val="32"/>
          <w:highlight w:val="none"/>
          <w:u w:val="none"/>
          <w:lang w:eastAsia="zh-CN"/>
        </w:rPr>
        <w:t>（折合约</w:t>
      </w:r>
      <w:r>
        <w:rPr>
          <w:rFonts w:hint="eastAsia" w:ascii="仿宋_GB2312" w:hAnsi="仿宋_GB2312" w:eastAsia="仿宋_GB2312" w:cs="仿宋_GB2312"/>
          <w:color w:val="auto"/>
          <w:spacing w:val="-6"/>
          <w:kern w:val="0"/>
          <w:sz w:val="32"/>
          <w:szCs w:val="32"/>
          <w:highlight w:val="none"/>
          <w:u w:val="none"/>
          <w:lang w:val="en-US" w:eastAsia="zh-CN"/>
        </w:rPr>
        <w:t>2.72万/</w:t>
      </w:r>
      <w:r>
        <w:rPr>
          <w:rFonts w:hint="eastAsia" w:ascii="仿宋_GB2312" w:hAnsi="仿宋_GB2312" w:eastAsia="仿宋_GB2312" w:cs="仿宋_GB2312"/>
          <w:color w:val="auto"/>
          <w:spacing w:val="-6"/>
          <w:kern w:val="0"/>
          <w:sz w:val="32"/>
          <w:szCs w:val="32"/>
          <w:highlight w:val="none"/>
          <w:u w:val="none"/>
          <w:lang w:eastAsia="zh-CN"/>
        </w:rPr>
        <w:t>亩）</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kern w:val="0"/>
          <w:sz w:val="32"/>
          <w:szCs w:val="32"/>
          <w:highlight w:val="none"/>
          <w:u w:val="none"/>
        </w:rPr>
        <w:t>根据《关于印发中山市工业用地综合评价方案的通知》（中山工改办发〔2023〕7号），经研究，认定改造地块属于低效工业用地。</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 w:hAnsi="楷体" w:eastAsia="楷体" w:cs="楷体"/>
          <w:color w:val="auto"/>
          <w:spacing w:val="-6"/>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eastAsia="zh-CN"/>
        </w:rPr>
        <w:t>该宗用地</w:t>
      </w:r>
      <w:r>
        <w:rPr>
          <w:rFonts w:hint="eastAsia" w:ascii="仿宋_GB2312" w:hAnsi="仿宋_GB2312" w:eastAsia="仿宋_GB2312" w:cs="仿宋_GB2312"/>
          <w:color w:val="auto"/>
          <w:spacing w:val="-6"/>
          <w:kern w:val="0"/>
          <w:sz w:val="32"/>
          <w:szCs w:val="32"/>
          <w:highlight w:val="none"/>
          <w:u w:val="none"/>
        </w:rPr>
        <w:t>涉及闲置</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正在办理闲置</w:t>
      </w:r>
      <w:r>
        <w:rPr>
          <w:rFonts w:hint="eastAsia" w:ascii="仿宋_GB2312" w:hAnsi="仿宋_GB2312" w:eastAsia="仿宋_GB2312" w:cs="仿宋_GB2312"/>
          <w:color w:val="auto"/>
          <w:spacing w:val="-6"/>
          <w:kern w:val="0"/>
          <w:sz w:val="32"/>
          <w:szCs w:val="32"/>
          <w:highlight w:val="none"/>
          <w:u w:val="none"/>
          <w:lang w:eastAsia="zh-CN"/>
        </w:rPr>
        <w:t>处置</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不涉及</w:t>
      </w:r>
      <w:r>
        <w:rPr>
          <w:rFonts w:hint="eastAsia" w:ascii="仿宋_GB2312" w:hAnsi="仿宋_GB2312" w:eastAsia="仿宋_GB2312" w:cs="仿宋_GB2312"/>
          <w:color w:val="auto"/>
          <w:spacing w:val="-6"/>
          <w:kern w:val="0"/>
          <w:sz w:val="32"/>
          <w:szCs w:val="32"/>
          <w:highlight w:val="none"/>
          <w:u w:val="none"/>
        </w:rPr>
        <w:t>抵押、</w:t>
      </w:r>
      <w:r>
        <w:rPr>
          <w:rFonts w:hint="eastAsia" w:ascii="仿宋_GB2312" w:hAnsi="仿宋_GB2312" w:eastAsia="仿宋_GB2312" w:cs="仿宋_GB2312"/>
          <w:color w:val="auto"/>
          <w:spacing w:val="-6"/>
          <w:kern w:val="0"/>
          <w:sz w:val="32"/>
          <w:szCs w:val="32"/>
          <w:highlight w:val="none"/>
          <w:u w:val="none"/>
          <w:lang w:val="en-US" w:eastAsia="zh-CN"/>
        </w:rPr>
        <w:t>违法用地处置、</w:t>
      </w:r>
      <w:r>
        <w:rPr>
          <w:rFonts w:hint="eastAsia" w:ascii="仿宋_GB2312" w:hAnsi="仿宋_GB2312" w:eastAsia="仿宋_GB2312" w:cs="仿宋_GB2312"/>
          <w:color w:val="auto"/>
          <w:spacing w:val="-6"/>
          <w:kern w:val="0"/>
          <w:sz w:val="32"/>
          <w:szCs w:val="32"/>
          <w:highlight w:val="none"/>
          <w:u w:val="none"/>
        </w:rPr>
        <w:t>查封、历史文化资源元素、土壤环境潜在监管地块等情况。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楷体" w:hAnsi="楷体" w:eastAsia="楷体" w:cs="楷体"/>
          <w:color w:val="auto"/>
          <w:spacing w:val="-6"/>
          <w:sz w:val="32"/>
          <w:szCs w:val="32"/>
          <w:highlight w:val="none"/>
          <w:u w:val="none"/>
          <w:lang w:eastAsia="zh-CN"/>
        </w:rPr>
      </w:pPr>
      <w:r>
        <w:rPr>
          <w:rFonts w:hint="eastAsia" w:ascii="楷体" w:hAnsi="楷体" w:eastAsia="楷体" w:cs="楷体"/>
          <w:color w:val="auto"/>
          <w:spacing w:val="-6"/>
          <w:sz w:val="32"/>
          <w:szCs w:val="32"/>
          <w:highlight w:val="none"/>
          <w:u w:val="none"/>
        </w:rPr>
        <w:t>（</w:t>
      </w:r>
      <w:r>
        <w:rPr>
          <w:rFonts w:hint="eastAsia" w:ascii="楷体" w:hAnsi="楷体" w:eastAsia="楷体" w:cs="楷体"/>
          <w:color w:val="auto"/>
          <w:spacing w:val="-6"/>
          <w:sz w:val="32"/>
          <w:szCs w:val="32"/>
          <w:highlight w:val="none"/>
          <w:u w:val="none"/>
          <w:lang w:val="en-US" w:eastAsia="zh-CN"/>
        </w:rPr>
        <w:t>五</w:t>
      </w:r>
      <w:r>
        <w:rPr>
          <w:rFonts w:hint="eastAsia" w:ascii="楷体" w:hAnsi="楷体" w:eastAsia="楷体" w:cs="楷体"/>
          <w:color w:val="auto"/>
          <w:spacing w:val="-6"/>
          <w:sz w:val="32"/>
          <w:szCs w:val="32"/>
          <w:highlight w:val="none"/>
          <w:u w:val="none"/>
        </w:rPr>
        <w:t>）规划情况</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rPr>
        <w:t>改造地块符合</w:t>
      </w:r>
      <w:r>
        <w:rPr>
          <w:rFonts w:hint="eastAsia" w:ascii="仿宋_GB2312" w:hAnsi="仿宋_GB2312" w:eastAsia="仿宋_GB2312" w:cs="仿宋_GB2312"/>
          <w:color w:val="auto"/>
          <w:spacing w:val="-6"/>
          <w:kern w:val="0"/>
          <w:sz w:val="32"/>
          <w:szCs w:val="32"/>
          <w:highlight w:val="none"/>
          <w:u w:val="none"/>
          <w:lang w:val="en-US" w:eastAsia="zh-CN"/>
        </w:rPr>
        <w:t>国土空间总体规划</w:t>
      </w:r>
      <w:r>
        <w:rPr>
          <w:rFonts w:hint="eastAsia" w:ascii="仿宋_GB2312" w:hAnsi="仿宋_GB2312" w:eastAsia="仿宋_GB2312" w:cs="仿宋_GB2312"/>
          <w:color w:val="auto"/>
          <w:spacing w:val="-6"/>
          <w:kern w:val="0"/>
          <w:sz w:val="32"/>
          <w:szCs w:val="32"/>
          <w:highlight w:val="none"/>
          <w:u w:val="none"/>
        </w:rPr>
        <w:t>、控制性详细规划</w:t>
      </w:r>
      <w:r>
        <w:rPr>
          <w:rFonts w:hint="eastAsia" w:ascii="仿宋_GB2312" w:hAnsi="仿宋_GB2312" w:eastAsia="仿宋_GB2312" w:cs="仿宋_GB2312"/>
          <w:color w:val="auto"/>
          <w:spacing w:val="-6"/>
          <w:kern w:val="0"/>
          <w:sz w:val="32"/>
          <w:szCs w:val="32"/>
          <w:highlight w:val="none"/>
          <w:u w:val="none"/>
          <w:lang w:eastAsia="zh-CN"/>
        </w:rPr>
        <w:t>。在国土空间总体规划中，属城镇建设用地1.5940公顷（15940.00平方米，折合约23.91亩）</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在《中山市板芙镇顺景工业园北片区(2004单元)02街区控制性详细规划一般修改》（正在报批）中，一类工业用地1.46</w:t>
      </w:r>
      <w:r>
        <w:rPr>
          <w:rFonts w:hint="eastAsia" w:ascii="仿宋_GB2312" w:hAnsi="仿宋_GB2312" w:eastAsia="仿宋_GB2312" w:cs="仿宋_GB2312"/>
          <w:color w:val="auto"/>
          <w:spacing w:val="-6"/>
          <w:kern w:val="0"/>
          <w:sz w:val="32"/>
          <w:szCs w:val="32"/>
          <w:highlight w:val="none"/>
          <w:u w:val="none"/>
          <w:lang w:val="en-US" w:eastAsia="zh-CN"/>
        </w:rPr>
        <w:t>26</w:t>
      </w:r>
      <w:r>
        <w:rPr>
          <w:rFonts w:hint="eastAsia" w:ascii="仿宋_GB2312" w:hAnsi="仿宋_GB2312" w:eastAsia="仿宋_GB2312" w:cs="仿宋_GB2312"/>
          <w:color w:val="auto"/>
          <w:spacing w:val="-6"/>
          <w:kern w:val="0"/>
          <w:sz w:val="32"/>
          <w:szCs w:val="32"/>
          <w:highlight w:val="none"/>
          <w:u w:val="none"/>
          <w:lang w:eastAsia="zh-CN"/>
        </w:rPr>
        <w:t>公顷（14625.6</w:t>
      </w:r>
      <w:r>
        <w:rPr>
          <w:rFonts w:hint="eastAsia" w:ascii="仿宋_GB2312" w:hAnsi="仿宋_GB2312" w:eastAsia="仿宋_GB2312" w:cs="仿宋_GB2312"/>
          <w:color w:val="auto"/>
          <w:spacing w:val="-6"/>
          <w:kern w:val="0"/>
          <w:sz w:val="32"/>
          <w:szCs w:val="32"/>
          <w:highlight w:val="none"/>
          <w:u w:val="none"/>
          <w:lang w:val="en-US" w:eastAsia="zh-CN"/>
        </w:rPr>
        <w:t>6</w:t>
      </w:r>
      <w:r>
        <w:rPr>
          <w:rFonts w:hint="eastAsia" w:ascii="仿宋_GB2312" w:hAnsi="仿宋_GB2312" w:eastAsia="仿宋_GB2312" w:cs="仿宋_GB2312"/>
          <w:color w:val="auto"/>
          <w:spacing w:val="-6"/>
          <w:kern w:val="0"/>
          <w:sz w:val="32"/>
          <w:szCs w:val="32"/>
          <w:highlight w:val="none"/>
          <w:u w:val="none"/>
          <w:lang w:eastAsia="zh-CN"/>
        </w:rPr>
        <w:t>平方米，折合约21.94亩），规划容积率1.0-3.5，建筑密度35-60%，绿地率10-15%，生产性建筑高度≤50m，配套设施建筑高度≤100m；公共绿地0.04</w:t>
      </w:r>
      <w:r>
        <w:rPr>
          <w:rFonts w:hint="eastAsia" w:ascii="仿宋_GB2312" w:hAnsi="仿宋_GB2312" w:eastAsia="仿宋_GB2312" w:cs="仿宋_GB2312"/>
          <w:color w:val="auto"/>
          <w:spacing w:val="-6"/>
          <w:kern w:val="0"/>
          <w:sz w:val="32"/>
          <w:szCs w:val="32"/>
          <w:highlight w:val="none"/>
          <w:u w:val="none"/>
          <w:lang w:val="en-US" w:eastAsia="zh-CN"/>
        </w:rPr>
        <w:t>07</w:t>
      </w:r>
      <w:r>
        <w:rPr>
          <w:rFonts w:hint="eastAsia" w:ascii="仿宋_GB2312" w:hAnsi="仿宋_GB2312" w:eastAsia="仿宋_GB2312" w:cs="仿宋_GB2312"/>
          <w:color w:val="auto"/>
          <w:spacing w:val="-6"/>
          <w:kern w:val="0"/>
          <w:sz w:val="32"/>
          <w:szCs w:val="32"/>
          <w:highlight w:val="none"/>
          <w:u w:val="none"/>
          <w:lang w:eastAsia="zh-CN"/>
        </w:rPr>
        <w:t>公顷（406.95平方米，折合约0.61亩）；道路用地0.09</w:t>
      </w:r>
      <w:r>
        <w:rPr>
          <w:rFonts w:hint="eastAsia" w:ascii="仿宋_GB2312" w:hAnsi="仿宋_GB2312" w:eastAsia="仿宋_GB2312" w:cs="仿宋_GB2312"/>
          <w:color w:val="auto"/>
          <w:spacing w:val="-6"/>
          <w:kern w:val="0"/>
          <w:sz w:val="32"/>
          <w:szCs w:val="32"/>
          <w:highlight w:val="none"/>
          <w:u w:val="none"/>
          <w:lang w:val="en-US" w:eastAsia="zh-CN"/>
        </w:rPr>
        <w:t>07</w:t>
      </w:r>
      <w:r>
        <w:rPr>
          <w:rFonts w:hint="eastAsia" w:ascii="仿宋_GB2312" w:hAnsi="仿宋_GB2312" w:eastAsia="仿宋_GB2312" w:cs="仿宋_GB2312"/>
          <w:color w:val="auto"/>
          <w:spacing w:val="-6"/>
          <w:kern w:val="0"/>
          <w:sz w:val="32"/>
          <w:szCs w:val="32"/>
          <w:highlight w:val="none"/>
          <w:u w:val="none"/>
          <w:lang w:eastAsia="zh-CN"/>
        </w:rPr>
        <w:t>公顷（907.39平方米，折合约1.36亩）。</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eastAsia="zh-CN"/>
        </w:rPr>
        <w:t>该用地不涉及永久基本农田、生态保护红线，全部位于城镇开发边界内，属于一级工业用地保护线范围内。</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二、改造意愿及安置补偿情况</w:t>
      </w:r>
    </w:p>
    <w:p>
      <w:pPr>
        <w:adjustRightInd w:val="0"/>
        <w:snapToGrid w:val="0"/>
        <w:spacing w:beforeLines="0" w:afterLines="0" w:line="574" w:lineRule="exact"/>
        <w:ind w:firstLine="616" w:firstLineChars="200"/>
        <w:rPr>
          <w:rFonts w:hint="eastAsia" w:ascii="楷体" w:hAnsi="楷体" w:eastAsia="楷体" w:cs="楷体"/>
          <w:color w:val="auto"/>
          <w:spacing w:val="-6"/>
          <w:kern w:val="0"/>
          <w:sz w:val="32"/>
          <w:szCs w:val="32"/>
          <w:highlight w:val="none"/>
          <w:u w:val="none"/>
          <w:lang w:val="en-US" w:eastAsia="zh-CN"/>
        </w:rPr>
      </w:pPr>
      <w:r>
        <w:rPr>
          <w:rFonts w:hint="eastAsia" w:ascii="楷体" w:hAnsi="楷体" w:eastAsia="楷体" w:cs="楷体"/>
          <w:color w:val="auto"/>
          <w:spacing w:val="-6"/>
          <w:kern w:val="0"/>
          <w:sz w:val="32"/>
          <w:szCs w:val="32"/>
          <w:highlight w:val="none"/>
          <w:u w:val="none"/>
        </w:rPr>
        <w:t>（一）改造意愿情况</w:t>
      </w:r>
    </w:p>
    <w:p>
      <w:pPr>
        <w:adjustRightInd w:val="0"/>
        <w:snapToGrid w:val="0"/>
        <w:spacing w:beforeLines="0" w:afterLines="0" w:line="574" w:lineRule="exact"/>
        <w:ind w:firstLine="616" w:firstLineChars="200"/>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改造范围涉及</w:t>
      </w:r>
      <w:r>
        <w:rPr>
          <w:rFonts w:hint="eastAsia" w:ascii="仿宋_GB2312" w:hAnsi="仿宋_GB2312" w:eastAsia="仿宋_GB2312" w:cs="仿宋_GB2312"/>
          <w:color w:val="auto"/>
          <w:spacing w:val="-6"/>
          <w:kern w:val="0"/>
          <w:sz w:val="32"/>
          <w:szCs w:val="32"/>
          <w:highlight w:val="none"/>
          <w:u w:val="none"/>
          <w:lang w:eastAsia="zh-CN"/>
        </w:rPr>
        <w:t>白溪村经济联合社</w:t>
      </w:r>
      <w:r>
        <w:rPr>
          <w:rFonts w:hint="eastAsia" w:ascii="仿宋_GB2312" w:hAnsi="仿宋_GB2312" w:eastAsia="仿宋_GB2312" w:cs="仿宋_GB2312"/>
          <w:color w:val="auto"/>
          <w:spacing w:val="-6"/>
          <w:kern w:val="0"/>
          <w:sz w:val="32"/>
          <w:szCs w:val="32"/>
          <w:highlight w:val="none"/>
          <w:u w:val="none"/>
          <w:lang w:val="en-US" w:eastAsia="zh-CN"/>
        </w:rPr>
        <w:t>1</w:t>
      </w:r>
      <w:r>
        <w:rPr>
          <w:rFonts w:hint="eastAsia" w:ascii="仿宋_GB2312" w:hAnsi="仿宋_GB2312" w:eastAsia="仿宋_GB2312" w:cs="仿宋_GB2312"/>
          <w:color w:val="auto"/>
          <w:spacing w:val="-6"/>
          <w:kern w:val="0"/>
          <w:sz w:val="32"/>
          <w:szCs w:val="32"/>
          <w:highlight w:val="none"/>
          <w:u w:val="none"/>
        </w:rPr>
        <w:t>个权利主体，</w:t>
      </w:r>
      <w:r>
        <w:rPr>
          <w:rFonts w:hint="eastAsia" w:ascii="仿宋_GB2312" w:hAnsi="仿宋_GB2312" w:eastAsia="仿宋_GB2312" w:cs="仿宋_GB2312"/>
          <w:color w:val="auto"/>
          <w:spacing w:val="-6"/>
          <w:kern w:val="0"/>
          <w:sz w:val="32"/>
          <w:szCs w:val="32"/>
          <w:highlight w:val="none"/>
          <w:u w:val="none"/>
          <w:lang w:eastAsia="zh-CN"/>
        </w:rPr>
        <w:t>板芙镇人民政府</w:t>
      </w:r>
      <w:r>
        <w:rPr>
          <w:rFonts w:hint="eastAsia" w:ascii="仿宋_GB2312" w:hAnsi="仿宋_GB2312" w:eastAsia="仿宋_GB2312" w:cs="仿宋_GB2312"/>
          <w:color w:val="auto"/>
          <w:spacing w:val="-6"/>
          <w:kern w:val="0"/>
          <w:sz w:val="32"/>
          <w:szCs w:val="32"/>
          <w:highlight w:val="none"/>
          <w:u w:val="none"/>
        </w:rPr>
        <w:t>已按照法律法规及中山市</w:t>
      </w:r>
      <w:r>
        <w:rPr>
          <w:rFonts w:hint="eastAsia" w:ascii="仿宋_GB2312" w:hAnsi="仿宋_GB2312" w:eastAsia="仿宋_GB2312" w:cs="仿宋_GB2312"/>
          <w:color w:val="auto"/>
          <w:spacing w:val="-6"/>
          <w:kern w:val="0"/>
          <w:sz w:val="32"/>
          <w:szCs w:val="32"/>
          <w:highlight w:val="none"/>
          <w:u w:val="none"/>
          <w:lang w:eastAsia="zh-CN"/>
        </w:rPr>
        <w:t>自然资源局《</w:t>
      </w:r>
      <w:r>
        <w:rPr>
          <w:rFonts w:hint="eastAsia" w:ascii="仿宋_GB2312" w:hAnsi="仿宋_GB2312" w:eastAsia="仿宋_GB2312" w:cs="仿宋_GB2312"/>
          <w:color w:val="auto"/>
          <w:spacing w:val="-6"/>
          <w:kern w:val="0"/>
          <w:sz w:val="32"/>
          <w:szCs w:val="32"/>
          <w:highlight w:val="none"/>
          <w:u w:val="none"/>
        </w:rPr>
        <w:t>关于促进2010年后实施建设等情形的低效工业用地升级改造支持政策的通知</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，就改造范围、土地现状、改造主体及拟改造情况、补偿安置方式及标准等事项征询涉及所有权利人改造意愿，经</w:t>
      </w:r>
      <w:r>
        <w:rPr>
          <w:rFonts w:hint="eastAsia" w:ascii="仿宋_GB2312" w:hAnsi="仿宋_GB2312" w:eastAsia="仿宋_GB2312" w:cs="仿宋_GB2312"/>
          <w:color w:val="auto"/>
          <w:spacing w:val="-6"/>
          <w:kern w:val="0"/>
          <w:sz w:val="32"/>
          <w:szCs w:val="32"/>
          <w:highlight w:val="none"/>
          <w:u w:val="none"/>
          <w:lang w:eastAsia="zh-CN"/>
        </w:rPr>
        <w:t>白溪村村民</w:t>
      </w:r>
      <w:r>
        <w:rPr>
          <w:rFonts w:hint="eastAsia" w:ascii="仿宋_GB2312" w:hAnsi="仿宋_GB2312" w:eastAsia="仿宋_GB2312" w:cs="仿宋_GB2312"/>
          <w:color w:val="auto"/>
          <w:spacing w:val="-6"/>
          <w:kern w:val="0"/>
          <w:sz w:val="32"/>
          <w:szCs w:val="32"/>
          <w:highlight w:val="none"/>
          <w:u w:val="none"/>
        </w:rPr>
        <w:t>代表大会三分之二以上成员</w:t>
      </w:r>
      <w:r>
        <w:rPr>
          <w:rFonts w:hint="eastAsia" w:ascii="仿宋_GB2312" w:hAnsi="仿宋_GB2312" w:eastAsia="仿宋_GB2312" w:cs="仿宋_GB2312"/>
          <w:color w:val="auto"/>
          <w:spacing w:val="-6"/>
          <w:kern w:val="0"/>
          <w:sz w:val="32"/>
          <w:szCs w:val="32"/>
          <w:highlight w:val="none"/>
          <w:u w:val="none"/>
          <w:lang w:val="en-US" w:eastAsia="zh-CN"/>
        </w:rPr>
        <w:t>代表表决</w:t>
      </w:r>
      <w:r>
        <w:rPr>
          <w:rFonts w:hint="eastAsia" w:ascii="仿宋_GB2312" w:hAnsi="仿宋_GB2312" w:eastAsia="仿宋_GB2312" w:cs="仿宋_GB2312"/>
          <w:color w:val="auto"/>
          <w:spacing w:val="-6"/>
          <w:kern w:val="0"/>
          <w:sz w:val="32"/>
          <w:szCs w:val="32"/>
          <w:highlight w:val="none"/>
          <w:u w:val="none"/>
        </w:rPr>
        <w:t>，同意将涉及</w:t>
      </w:r>
      <w:r>
        <w:rPr>
          <w:rFonts w:hint="eastAsia" w:ascii="仿宋_GB2312" w:hAnsi="仿宋_GB2312" w:eastAsia="仿宋_GB2312" w:cs="仿宋_GB2312"/>
          <w:color w:val="auto"/>
          <w:spacing w:val="-6"/>
          <w:kern w:val="0"/>
          <w:sz w:val="32"/>
          <w:szCs w:val="32"/>
          <w:highlight w:val="none"/>
          <w:u w:val="none"/>
          <w:lang w:val="en-US" w:eastAsia="zh-CN"/>
        </w:rPr>
        <w:t>的</w:t>
      </w:r>
      <w:r>
        <w:rPr>
          <w:rFonts w:hint="eastAsia" w:ascii="仿宋_GB2312" w:hAnsi="仿宋_GB2312" w:eastAsia="仿宋_GB2312" w:cs="仿宋_GB2312"/>
          <w:color w:val="auto"/>
          <w:spacing w:val="-6"/>
          <w:kern w:val="0"/>
          <w:sz w:val="32"/>
          <w:szCs w:val="32"/>
          <w:highlight w:val="none"/>
          <w:u w:val="none"/>
        </w:rPr>
        <w:t>土地</w:t>
      </w:r>
      <w:r>
        <w:rPr>
          <w:rFonts w:hint="eastAsia" w:ascii="仿宋_GB2312" w:hAnsi="仿宋_GB2312" w:eastAsia="仿宋_GB2312" w:cs="仿宋_GB2312"/>
          <w:color w:val="auto"/>
          <w:spacing w:val="-6"/>
          <w:kern w:val="0"/>
          <w:sz w:val="32"/>
          <w:szCs w:val="32"/>
          <w:highlight w:val="none"/>
          <w:u w:val="none"/>
          <w:lang w:val="en-US" w:eastAsia="zh-CN"/>
        </w:rPr>
        <w:t>及地上附着物</w:t>
      </w:r>
      <w:r>
        <w:rPr>
          <w:rFonts w:hint="eastAsia" w:ascii="仿宋_GB2312" w:hAnsi="仿宋_GB2312" w:eastAsia="仿宋_GB2312" w:cs="仿宋_GB2312"/>
          <w:color w:val="auto"/>
          <w:spacing w:val="-6"/>
          <w:kern w:val="0"/>
          <w:sz w:val="32"/>
          <w:szCs w:val="32"/>
          <w:highlight w:val="none"/>
          <w:u w:val="none"/>
        </w:rPr>
        <w:t>纳入改造范围</w:t>
      </w:r>
      <w:r>
        <w:rPr>
          <w:rFonts w:hint="eastAsia" w:ascii="仿宋_GB2312" w:hAnsi="仿宋_GB2312" w:eastAsia="仿宋_GB2312" w:cs="仿宋_GB2312"/>
          <w:color w:val="auto"/>
          <w:spacing w:val="-6"/>
          <w:kern w:val="0"/>
          <w:sz w:val="32"/>
          <w:szCs w:val="32"/>
          <w:highlight w:val="none"/>
          <w:u w:val="none"/>
          <w:lang w:eastAsia="zh-CN"/>
        </w:rPr>
        <w:t>。</w:t>
      </w:r>
    </w:p>
    <w:p>
      <w:pPr>
        <w:numPr>
          <w:ilvl w:val="0"/>
          <w:numId w:val="1"/>
        </w:numPr>
        <w:adjustRightInd w:val="0"/>
        <w:snapToGrid w:val="0"/>
        <w:spacing w:beforeLines="0" w:afterLines="0" w:line="574" w:lineRule="exact"/>
        <w:ind w:firstLine="616" w:firstLineChars="200"/>
        <w:rPr>
          <w:rFonts w:hint="eastAsia" w:ascii="楷体" w:hAnsi="楷体" w:eastAsia="楷体" w:cs="楷体"/>
          <w:color w:val="auto"/>
          <w:spacing w:val="-6"/>
          <w:kern w:val="0"/>
          <w:sz w:val="32"/>
          <w:szCs w:val="32"/>
          <w:highlight w:val="none"/>
          <w:u w:val="none"/>
        </w:rPr>
      </w:pPr>
      <w:r>
        <w:rPr>
          <w:rFonts w:hint="eastAsia" w:ascii="楷体" w:hAnsi="楷体" w:eastAsia="楷体" w:cs="楷体"/>
          <w:color w:val="auto"/>
          <w:spacing w:val="-6"/>
          <w:kern w:val="0"/>
          <w:sz w:val="32"/>
          <w:szCs w:val="32"/>
          <w:highlight w:val="none"/>
          <w:u w:val="none"/>
        </w:rPr>
        <w:t>补偿安置情况</w:t>
      </w:r>
    </w:p>
    <w:p>
      <w:pPr>
        <w:widowControl/>
        <w:wordWrap/>
        <w:adjustRightInd w:val="0"/>
        <w:snapToGrid w:val="0"/>
        <w:spacing w:beforeLines="0" w:afterLines="0" w:line="574" w:lineRule="exact"/>
        <w:ind w:firstLine="616" w:firstLineChars="200"/>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eastAsia="zh-CN"/>
        </w:rPr>
        <w:t>项目涉及收储中山市板芙镇白溪村经济联合社名下</w:t>
      </w:r>
      <w:r>
        <w:rPr>
          <w:rFonts w:hint="eastAsia" w:ascii="仿宋_GB2312" w:hAnsi="仿宋_GB2312" w:eastAsia="仿宋_GB2312" w:cs="仿宋_GB2312"/>
          <w:color w:val="auto"/>
          <w:spacing w:val="-6"/>
          <w:kern w:val="0"/>
          <w:sz w:val="32"/>
          <w:szCs w:val="32"/>
          <w:highlight w:val="none"/>
          <w:u w:val="none"/>
          <w:lang w:val="en-US" w:eastAsia="zh-CN"/>
        </w:rPr>
        <w:t>1.5940</w:t>
      </w:r>
      <w:r>
        <w:rPr>
          <w:rFonts w:hint="eastAsia" w:ascii="仿宋_GB2312" w:hAnsi="仿宋_GB2312" w:eastAsia="仿宋_GB2312" w:cs="仿宋_GB2312"/>
          <w:color w:val="auto"/>
          <w:spacing w:val="-6"/>
          <w:kern w:val="0"/>
          <w:sz w:val="32"/>
          <w:szCs w:val="32"/>
          <w:highlight w:val="none"/>
          <w:u w:val="none"/>
          <w:lang w:eastAsia="zh-CN"/>
        </w:rPr>
        <w:t>公顷（</w:t>
      </w:r>
      <w:r>
        <w:rPr>
          <w:rFonts w:hint="eastAsia" w:ascii="仿宋_GB2312" w:hAnsi="仿宋_GB2312" w:eastAsia="仿宋_GB2312" w:cs="仿宋_GB2312"/>
          <w:color w:val="auto"/>
          <w:spacing w:val="-6"/>
          <w:kern w:val="0"/>
          <w:sz w:val="32"/>
          <w:szCs w:val="32"/>
          <w:highlight w:val="none"/>
          <w:u w:val="none"/>
          <w:lang w:val="en-US" w:eastAsia="zh-CN"/>
        </w:rPr>
        <w:t>15940.00</w:t>
      </w:r>
      <w:r>
        <w:rPr>
          <w:rFonts w:hint="eastAsia" w:ascii="仿宋_GB2312" w:hAnsi="仿宋_GB2312" w:eastAsia="仿宋_GB2312" w:cs="仿宋_GB2312"/>
          <w:color w:val="auto"/>
          <w:spacing w:val="-6"/>
          <w:kern w:val="0"/>
          <w:sz w:val="32"/>
          <w:szCs w:val="32"/>
          <w:highlight w:val="none"/>
          <w:u w:val="none"/>
          <w:lang w:eastAsia="zh-CN"/>
        </w:rPr>
        <w:t>平方米，折合约</w:t>
      </w:r>
      <w:r>
        <w:rPr>
          <w:rFonts w:hint="eastAsia" w:ascii="仿宋_GB2312" w:hAnsi="仿宋_GB2312" w:eastAsia="仿宋_GB2312" w:cs="仿宋_GB2312"/>
          <w:color w:val="auto"/>
          <w:spacing w:val="-6"/>
          <w:kern w:val="0"/>
          <w:sz w:val="32"/>
          <w:szCs w:val="32"/>
          <w:highlight w:val="none"/>
          <w:u w:val="none"/>
          <w:lang w:val="en-US" w:eastAsia="zh-CN"/>
        </w:rPr>
        <w:t>23.91</w:t>
      </w:r>
      <w:r>
        <w:rPr>
          <w:rFonts w:hint="eastAsia" w:ascii="仿宋_GB2312" w:hAnsi="仿宋_GB2312" w:eastAsia="仿宋_GB2312" w:cs="仿宋_GB2312"/>
          <w:color w:val="auto"/>
          <w:spacing w:val="-6"/>
          <w:kern w:val="0"/>
          <w:sz w:val="32"/>
          <w:szCs w:val="32"/>
          <w:highlight w:val="none"/>
          <w:u w:val="none"/>
          <w:lang w:eastAsia="zh-CN"/>
        </w:rPr>
        <w:t>亩）国有建设用地，经</w:t>
      </w:r>
      <w:r>
        <w:rPr>
          <w:rFonts w:hint="eastAsia" w:ascii="仿宋_GB2312" w:hAnsi="仿宋_GB2312" w:eastAsia="仿宋_GB2312" w:cs="仿宋_GB2312"/>
          <w:color w:val="auto"/>
          <w:spacing w:val="-6"/>
          <w:kern w:val="0"/>
          <w:sz w:val="32"/>
          <w:szCs w:val="32"/>
          <w:highlight w:val="none"/>
          <w:u w:val="none"/>
        </w:rPr>
        <w:t>中山市板芙镇</w:t>
      </w:r>
      <w:r>
        <w:rPr>
          <w:rFonts w:hint="eastAsia" w:ascii="仿宋_GB2312" w:hAnsi="仿宋_GB2312" w:eastAsia="仿宋_GB2312" w:cs="仿宋_GB2312"/>
          <w:color w:val="auto"/>
          <w:spacing w:val="-6"/>
          <w:kern w:val="0"/>
          <w:sz w:val="32"/>
          <w:szCs w:val="32"/>
          <w:highlight w:val="none"/>
          <w:u w:val="none"/>
          <w:lang w:eastAsia="zh-CN"/>
        </w:rPr>
        <w:t>白溪村村民代表大会</w:t>
      </w:r>
      <w:r>
        <w:rPr>
          <w:rFonts w:hint="eastAsia" w:ascii="仿宋_GB2312" w:hAnsi="仿宋_GB2312" w:eastAsia="仿宋_GB2312" w:cs="仿宋_GB2312"/>
          <w:color w:val="auto"/>
          <w:spacing w:val="-6"/>
          <w:kern w:val="0"/>
          <w:sz w:val="32"/>
          <w:szCs w:val="32"/>
          <w:highlight w:val="none"/>
          <w:u w:val="none"/>
        </w:rPr>
        <w:t>决议同意主要事项如下：</w:t>
      </w:r>
    </w:p>
    <w:p>
      <w:pPr>
        <w:widowControl/>
        <w:wordWrap/>
        <w:adjustRightInd w:val="0"/>
        <w:snapToGrid w:val="0"/>
        <w:spacing w:beforeLines="0" w:afterLines="0" w:line="574" w:lineRule="exact"/>
        <w:ind w:firstLine="616" w:firstLineChars="200"/>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eastAsia="zh-CN"/>
        </w:rPr>
        <w:t>1、</w:t>
      </w:r>
      <w:r>
        <w:rPr>
          <w:rFonts w:hint="eastAsia" w:ascii="仿宋_GB2312" w:hAnsi="仿宋_GB2312" w:eastAsia="仿宋_GB2312" w:cs="仿宋_GB2312"/>
          <w:color w:val="auto"/>
          <w:spacing w:val="-6"/>
          <w:kern w:val="0"/>
          <w:sz w:val="32"/>
          <w:szCs w:val="32"/>
          <w:highlight w:val="none"/>
          <w:u w:val="none"/>
        </w:rPr>
        <w:t>申请将</w:t>
      </w:r>
      <w:r>
        <w:rPr>
          <w:rFonts w:hint="eastAsia" w:ascii="仿宋_GB2312" w:hAnsi="仿宋_GB2312" w:eastAsia="仿宋_GB2312" w:cs="仿宋_GB2312"/>
          <w:color w:val="auto"/>
          <w:spacing w:val="-6"/>
          <w:kern w:val="0"/>
          <w:sz w:val="32"/>
          <w:szCs w:val="32"/>
          <w:highlight w:val="none"/>
          <w:u w:val="none"/>
          <w:lang w:eastAsia="zh-CN"/>
        </w:rPr>
        <w:t>土地证号为</w:t>
      </w:r>
      <w:r>
        <w:rPr>
          <w:rFonts w:hint="eastAsia" w:ascii="仿宋_GB2312" w:hAnsi="仿宋_GB2312" w:eastAsia="仿宋_GB2312" w:cs="仿宋_GB2312"/>
          <w:color w:val="auto"/>
          <w:spacing w:val="-6"/>
          <w:kern w:val="0"/>
          <w:sz w:val="32"/>
          <w:szCs w:val="32"/>
          <w:highlight w:val="none"/>
          <w:u w:val="none"/>
        </w:rPr>
        <w:t>中府国用(2015)第3000140 号</w:t>
      </w:r>
      <w:r>
        <w:rPr>
          <w:rFonts w:hint="eastAsia" w:ascii="仿宋_GB2312" w:hAnsi="仿宋_GB2312" w:eastAsia="仿宋_GB2312" w:cs="仿宋_GB2312"/>
          <w:color w:val="auto"/>
          <w:spacing w:val="-6"/>
          <w:kern w:val="0"/>
          <w:sz w:val="32"/>
          <w:szCs w:val="32"/>
          <w:highlight w:val="none"/>
          <w:u w:val="none"/>
          <w:lang w:eastAsia="zh-CN"/>
        </w:rPr>
        <w:t>的用地，合计</w:t>
      </w:r>
      <w:r>
        <w:rPr>
          <w:rFonts w:hint="eastAsia" w:ascii="仿宋_GB2312" w:hAnsi="仿宋_GB2312" w:eastAsia="仿宋_GB2312" w:cs="仿宋_GB2312"/>
          <w:color w:val="auto"/>
          <w:spacing w:val="-6"/>
          <w:kern w:val="0"/>
          <w:sz w:val="32"/>
          <w:szCs w:val="32"/>
          <w:highlight w:val="none"/>
          <w:u w:val="none"/>
          <w:lang w:val="en-US" w:eastAsia="zh-CN"/>
        </w:rPr>
        <w:t>1.5940</w:t>
      </w:r>
      <w:r>
        <w:rPr>
          <w:rFonts w:hint="eastAsia" w:ascii="仿宋_GB2312" w:hAnsi="仿宋_GB2312" w:eastAsia="仿宋_GB2312" w:cs="仿宋_GB2312"/>
          <w:color w:val="auto"/>
          <w:spacing w:val="-6"/>
          <w:kern w:val="0"/>
          <w:sz w:val="32"/>
          <w:szCs w:val="32"/>
          <w:highlight w:val="none"/>
          <w:u w:val="none"/>
        </w:rPr>
        <w:t>公顷（折合约</w:t>
      </w:r>
      <w:r>
        <w:rPr>
          <w:rFonts w:hint="eastAsia" w:ascii="仿宋_GB2312" w:hAnsi="仿宋_GB2312" w:eastAsia="仿宋_GB2312" w:cs="仿宋_GB2312"/>
          <w:color w:val="auto"/>
          <w:spacing w:val="-6"/>
          <w:kern w:val="0"/>
          <w:sz w:val="32"/>
          <w:szCs w:val="32"/>
          <w:highlight w:val="none"/>
          <w:u w:val="none"/>
          <w:lang w:val="en-US" w:eastAsia="zh-CN"/>
        </w:rPr>
        <w:t>23.91</w:t>
      </w:r>
      <w:r>
        <w:rPr>
          <w:rFonts w:hint="eastAsia" w:ascii="仿宋_GB2312" w:hAnsi="仿宋_GB2312" w:eastAsia="仿宋_GB2312" w:cs="仿宋_GB2312"/>
          <w:color w:val="auto"/>
          <w:spacing w:val="-6"/>
          <w:kern w:val="0"/>
          <w:sz w:val="32"/>
          <w:szCs w:val="32"/>
          <w:highlight w:val="none"/>
          <w:u w:val="none"/>
        </w:rPr>
        <w:t>亩）</w:t>
      </w:r>
      <w:r>
        <w:rPr>
          <w:rFonts w:hint="eastAsia" w:ascii="仿宋_GB2312" w:hAnsi="仿宋_GB2312" w:eastAsia="仿宋_GB2312" w:cs="仿宋_GB2312"/>
          <w:color w:val="auto"/>
          <w:spacing w:val="-6"/>
          <w:kern w:val="0"/>
          <w:sz w:val="32"/>
          <w:szCs w:val="32"/>
          <w:highlight w:val="none"/>
          <w:u w:val="none"/>
          <w:lang w:eastAsia="zh-CN"/>
        </w:rPr>
        <w:t>由政府收储后公开出让</w:t>
      </w:r>
      <w:r>
        <w:rPr>
          <w:rFonts w:hint="eastAsia" w:ascii="仿宋_GB2312" w:hAnsi="仿宋_GB2312" w:eastAsia="仿宋_GB2312" w:cs="仿宋_GB2312"/>
          <w:color w:val="auto"/>
          <w:spacing w:val="-6"/>
          <w:kern w:val="0"/>
          <w:sz w:val="32"/>
          <w:szCs w:val="32"/>
          <w:highlight w:val="none"/>
          <w:u w:val="none"/>
          <w:lang w:val="en-US" w:eastAsia="zh-CN"/>
        </w:rPr>
        <w:t>。</w:t>
      </w:r>
    </w:p>
    <w:p>
      <w:pPr>
        <w:widowControl/>
        <w:wordWrap/>
        <w:adjustRightInd w:val="0"/>
        <w:snapToGrid w:val="0"/>
        <w:spacing w:beforeLines="0" w:afterLines="0" w:line="574" w:lineRule="exact"/>
        <w:ind w:firstLine="616" w:firstLineChars="200"/>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val="en-US" w:eastAsia="zh-CN"/>
        </w:rPr>
        <w:t>2、土地补偿款以物业补偿和现金补偿两种方式补偿，其中现金补偿不少于800万元；物业补偿不少于8000平方米国有产权性质工业厂房和不少于16个配套汽车车位</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b w:val="0"/>
          <w:bCs w:val="0"/>
          <w:color w:val="auto"/>
          <w:spacing w:val="-6"/>
          <w:kern w:val="0"/>
          <w:sz w:val="32"/>
          <w:szCs w:val="32"/>
          <w:highlight w:val="none"/>
          <w:u w:val="none"/>
          <w:lang w:val="en-US" w:eastAsia="zh-CN"/>
        </w:rPr>
        <w:t>上述补偿的工业厂房须办理不动产权证至中山市板芙镇</w:t>
      </w:r>
      <w:r>
        <w:rPr>
          <w:rFonts w:hint="eastAsia" w:ascii="仿宋_GB2312" w:hAnsi="仿宋_GB2312" w:eastAsia="仿宋_GB2312" w:cs="仿宋_GB2312"/>
          <w:color w:val="auto"/>
          <w:spacing w:val="-6"/>
          <w:kern w:val="0"/>
          <w:sz w:val="32"/>
          <w:szCs w:val="32"/>
          <w:highlight w:val="none"/>
          <w:u w:val="none"/>
          <w:lang w:eastAsia="zh-CN"/>
        </w:rPr>
        <w:t>白溪村经济联合</w:t>
      </w:r>
      <w:r>
        <w:rPr>
          <w:rFonts w:hint="eastAsia" w:ascii="仿宋_GB2312" w:hAnsi="仿宋_GB2312" w:eastAsia="仿宋_GB2312" w:cs="仿宋_GB2312"/>
          <w:color w:val="auto"/>
          <w:spacing w:val="-6"/>
          <w:kern w:val="0"/>
          <w:sz w:val="32"/>
          <w:szCs w:val="32"/>
          <w:highlight w:val="none"/>
          <w:u w:val="none"/>
        </w:rPr>
        <w:t>社</w:t>
      </w:r>
      <w:r>
        <w:rPr>
          <w:rFonts w:hint="eastAsia" w:ascii="仿宋_GB2312" w:hAnsi="仿宋_GB2312" w:eastAsia="仿宋_GB2312" w:cs="仿宋_GB2312"/>
          <w:b w:val="0"/>
          <w:bCs w:val="0"/>
          <w:color w:val="auto"/>
          <w:spacing w:val="-6"/>
          <w:kern w:val="0"/>
          <w:sz w:val="32"/>
          <w:szCs w:val="32"/>
          <w:highlight w:val="none"/>
          <w:u w:val="none"/>
          <w:lang w:val="en-US" w:eastAsia="zh-CN"/>
        </w:rPr>
        <w:t>，产权转移产生的费用由改造主体承担。</w:t>
      </w:r>
    </w:p>
    <w:p>
      <w:pPr>
        <w:widowControl/>
        <w:wordWrap/>
        <w:adjustRightInd w:val="0"/>
        <w:snapToGrid w:val="0"/>
        <w:spacing w:beforeLines="0" w:afterLines="0" w:line="574" w:lineRule="exact"/>
        <w:ind w:firstLine="616" w:firstLineChars="200"/>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val="en-US" w:eastAsia="zh-CN"/>
        </w:rPr>
        <w:t>3、</w:t>
      </w:r>
      <w:r>
        <w:rPr>
          <w:rFonts w:hint="eastAsia" w:ascii="仿宋_GB2312" w:hAnsi="仿宋_GB2312" w:eastAsia="仿宋_GB2312" w:cs="仿宋_GB2312"/>
          <w:color w:val="auto"/>
          <w:spacing w:val="-6"/>
          <w:kern w:val="0"/>
          <w:sz w:val="32"/>
          <w:szCs w:val="32"/>
          <w:highlight w:val="none"/>
          <w:u w:val="none"/>
        </w:rPr>
        <w:t>土地竞得人</w:t>
      </w:r>
      <w:r>
        <w:rPr>
          <w:rFonts w:hint="eastAsia" w:ascii="仿宋_GB2312" w:hAnsi="仿宋_GB2312" w:eastAsia="仿宋_GB2312" w:cs="仿宋_GB2312"/>
          <w:color w:val="auto"/>
          <w:spacing w:val="-6"/>
          <w:kern w:val="0"/>
          <w:sz w:val="32"/>
          <w:szCs w:val="32"/>
          <w:highlight w:val="none"/>
          <w:u w:val="none"/>
          <w:lang w:val="en-US" w:eastAsia="zh-CN"/>
        </w:rPr>
        <w:t>100%返租物业，自签订土地出让合同13个月起计算返租年期及租金（建筑期不超过18个月），返租期为10年，租金为13元/平方米/月，每5年递增10%</w:t>
      </w:r>
      <w:r>
        <w:rPr>
          <w:rFonts w:hint="eastAsia" w:ascii="仿宋_GB2312" w:hAnsi="仿宋_GB2312" w:eastAsia="仿宋_GB2312" w:cs="仿宋_GB2312"/>
          <w:color w:val="auto"/>
          <w:spacing w:val="-6"/>
          <w:sz w:val="32"/>
          <w:lang w:val="en-US" w:eastAsia="zh-CN"/>
        </w:rPr>
        <w:t>（具体数额以补偿协议数据为准）。</w:t>
      </w:r>
    </w:p>
    <w:p>
      <w:pPr>
        <w:widowControl/>
        <w:adjustRightInd w:val="0"/>
        <w:snapToGrid w:val="0"/>
        <w:spacing w:beforeLines="0" w:afterLines="0" w:line="574" w:lineRule="exact"/>
        <w:ind w:firstLine="616" w:firstLineChars="200"/>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三、改造主体、办理用地手续</w:t>
      </w:r>
      <w:r>
        <w:rPr>
          <w:rFonts w:hint="eastAsia" w:ascii="黑体" w:hAnsi="黑体" w:eastAsia="黑体" w:cs="黑体"/>
          <w:color w:val="auto"/>
          <w:spacing w:val="-6"/>
          <w:kern w:val="0"/>
          <w:sz w:val="32"/>
          <w:szCs w:val="32"/>
          <w:highlight w:val="none"/>
          <w:u w:val="none"/>
          <w:lang w:eastAsia="zh-CN"/>
        </w:rPr>
        <w:t>、土地供应</w:t>
      </w:r>
      <w:r>
        <w:rPr>
          <w:rFonts w:hint="eastAsia" w:ascii="黑体" w:hAnsi="黑体" w:eastAsia="黑体" w:cs="黑体"/>
          <w:color w:val="auto"/>
          <w:spacing w:val="-6"/>
          <w:kern w:val="0"/>
          <w:sz w:val="32"/>
          <w:szCs w:val="32"/>
          <w:highlight w:val="none"/>
          <w:u w:val="none"/>
        </w:rPr>
        <w:t>及拟改造情况</w:t>
      </w:r>
    </w:p>
    <w:p>
      <w:pPr>
        <w:spacing w:line="574" w:lineRule="exact"/>
        <w:ind w:firstLine="616" w:firstLineChars="200"/>
        <w:rPr>
          <w:rFonts w:hint="eastAsia" w:ascii="仿宋_GB2312" w:hAnsi="仿宋_GB2312" w:eastAsia="仿宋_GB2312" w:cs="仿宋_GB2312"/>
          <w:color w:val="auto"/>
          <w:spacing w:val="-6"/>
          <w:sz w:val="32"/>
          <w:highlight w:val="none"/>
          <w:u w:val="none"/>
        </w:rPr>
      </w:pPr>
      <w:r>
        <w:rPr>
          <w:rFonts w:hint="eastAsia" w:ascii="仿宋_GB2312" w:hAnsi="仿宋_GB2312" w:eastAsia="仿宋_GB2312" w:cs="仿宋_GB2312"/>
          <w:color w:val="auto"/>
          <w:spacing w:val="-6"/>
          <w:sz w:val="32"/>
          <w:highlight w:val="none"/>
          <w:u w:val="none"/>
        </w:rPr>
        <w:t>根据有关规划要求，改造项目严格按照国土空间总体规划、</w:t>
      </w:r>
      <w:r>
        <w:rPr>
          <w:rFonts w:hint="eastAsia" w:ascii="仿宋_GB2312" w:hAnsi="仿宋_GB2312" w:eastAsia="仿宋_GB2312" w:cs="仿宋_GB2312"/>
          <w:color w:val="auto"/>
          <w:spacing w:val="-6"/>
          <w:kern w:val="0"/>
          <w:sz w:val="32"/>
          <w:szCs w:val="32"/>
          <w:highlight w:val="none"/>
          <w:u w:val="none"/>
          <w:lang w:eastAsia="zh-CN"/>
        </w:rPr>
        <w:t>《中山市板芙镇顺景工业园北片区(2004单元)02街区控制性详细规划一般修改》（正在报批）</w:t>
      </w:r>
      <w:r>
        <w:rPr>
          <w:rFonts w:hint="eastAsia" w:ascii="仿宋_GB2312" w:hAnsi="仿宋_GB2312" w:eastAsia="仿宋_GB2312" w:cs="仿宋_GB2312"/>
          <w:color w:val="auto"/>
          <w:spacing w:val="-6"/>
          <w:sz w:val="32"/>
          <w:highlight w:val="none"/>
          <w:u w:val="none"/>
        </w:rPr>
        <w:t>管控要求实施建设</w:t>
      </w:r>
      <w:r>
        <w:rPr>
          <w:rFonts w:hint="eastAsia" w:ascii="仿宋_GB2312" w:hAnsi="仿宋_GB2312" w:eastAsia="仿宋_GB2312" w:cs="仿宋_GB2312"/>
          <w:color w:val="auto"/>
          <w:spacing w:val="-6"/>
          <w:sz w:val="32"/>
          <w:highlight w:val="none"/>
          <w:u w:val="none"/>
          <w:lang w:eastAsia="zh-CN"/>
        </w:rPr>
        <w:t>。</w:t>
      </w:r>
      <w:r>
        <w:rPr>
          <w:rFonts w:hint="eastAsia" w:ascii="仿宋_GB2312" w:hAnsi="仿宋_GB2312" w:eastAsia="仿宋_GB2312" w:cs="仿宋_GB2312"/>
          <w:color w:val="auto"/>
          <w:spacing w:val="-6"/>
          <w:kern w:val="0"/>
          <w:sz w:val="32"/>
          <w:szCs w:val="32"/>
          <w:lang w:eastAsia="zh-CN"/>
        </w:rPr>
        <w:t>在规划中属非建设用地部分，按照非建设用地进行管控；在控规中属道路、防护绿地的公益性用地部分，日后由属地政府按规划开发建设。</w:t>
      </w:r>
    </w:p>
    <w:p>
      <w:pPr>
        <w:adjustRightInd w:val="0"/>
        <w:snapToGrid w:val="0"/>
        <w:spacing w:beforeLines="0" w:afterLines="0" w:line="574" w:lineRule="exact"/>
        <w:ind w:firstLine="616"/>
        <w:rPr>
          <w:rFonts w:ascii="楷体" w:hAnsi="楷体" w:eastAsia="楷体" w:cs="楷体"/>
          <w:color w:val="auto"/>
          <w:spacing w:val="-6"/>
          <w:kern w:val="0"/>
          <w:sz w:val="32"/>
          <w:szCs w:val="32"/>
          <w:highlight w:val="none"/>
          <w:u w:val="none"/>
        </w:rPr>
      </w:pPr>
      <w:r>
        <w:rPr>
          <w:rFonts w:hint="eastAsia" w:ascii="楷体" w:hAnsi="楷体" w:eastAsia="楷体" w:cs="楷体"/>
          <w:color w:val="auto"/>
          <w:spacing w:val="-6"/>
          <w:kern w:val="0"/>
          <w:sz w:val="32"/>
          <w:szCs w:val="32"/>
          <w:highlight w:val="none"/>
          <w:u w:val="none"/>
        </w:rPr>
        <w:t>（一）改造主体</w:t>
      </w:r>
    </w:p>
    <w:p>
      <w:pPr>
        <w:adjustRightInd w:val="0"/>
        <w:snapToGrid w:val="0"/>
        <w:spacing w:beforeLines="0" w:afterLines="0" w:line="574" w:lineRule="exact"/>
        <w:ind w:firstLine="616" w:firstLineChars="200"/>
        <w:rPr>
          <w:rFonts w:hint="eastAsia" w:ascii="仿宋_GB2312" w:hAnsi="仿宋_GB2312" w:eastAsia="仿宋_GB2312" w:cs="仿宋_GB2312"/>
          <w:color w:val="auto"/>
          <w:spacing w:val="-6"/>
          <w:sz w:val="32"/>
          <w:highlight w:val="none"/>
          <w:u w:val="none"/>
        </w:rPr>
      </w:pPr>
      <w:r>
        <w:rPr>
          <w:rFonts w:hint="eastAsia" w:ascii="仿宋_GB2312" w:hAnsi="仿宋_GB2312" w:eastAsia="仿宋_GB2312" w:cs="仿宋_GB2312"/>
          <w:color w:val="auto"/>
          <w:spacing w:val="-6"/>
          <w:sz w:val="32"/>
          <w:highlight w:val="none"/>
          <w:u w:val="none"/>
        </w:rPr>
        <w:t>该改造项目</w:t>
      </w:r>
      <w:r>
        <w:rPr>
          <w:rFonts w:hint="eastAsia" w:ascii="仿宋_GB2312" w:hAnsi="仿宋_GB2312" w:eastAsia="仿宋_GB2312" w:cs="仿宋_GB2312"/>
          <w:color w:val="auto"/>
          <w:spacing w:val="-6"/>
          <w:sz w:val="32"/>
          <w:highlight w:val="none"/>
          <w:u w:val="none"/>
          <w:lang w:val="en-US" w:eastAsia="zh-CN"/>
        </w:rPr>
        <w:t>属</w:t>
      </w:r>
      <w:r>
        <w:rPr>
          <w:rFonts w:hint="eastAsia" w:ascii="仿宋_GB2312" w:hAnsi="仿宋_GB2312" w:eastAsia="仿宋_GB2312" w:cs="仿宋_GB2312"/>
          <w:color w:val="auto"/>
          <w:spacing w:val="-6"/>
          <w:sz w:val="32"/>
          <w:highlight w:val="none"/>
          <w:u w:val="none"/>
        </w:rPr>
        <w:t>“工改工”宗地项目，拟采取政府</w:t>
      </w:r>
      <w:r>
        <w:rPr>
          <w:rFonts w:hint="eastAsia" w:ascii="仿宋_GB2312" w:hAnsi="仿宋_GB2312" w:eastAsia="仿宋_GB2312" w:cs="仿宋_GB2312"/>
          <w:color w:val="auto"/>
          <w:spacing w:val="-6"/>
          <w:sz w:val="32"/>
          <w:highlight w:val="none"/>
          <w:u w:val="none"/>
          <w:lang w:eastAsia="zh-CN"/>
        </w:rPr>
        <w:t>整备（</w:t>
      </w:r>
      <w:r>
        <w:rPr>
          <w:rFonts w:hint="eastAsia" w:ascii="仿宋_GB2312" w:hAnsi="仿宋_GB2312" w:eastAsia="仿宋_GB2312" w:cs="仿宋_GB2312"/>
          <w:color w:val="auto"/>
          <w:spacing w:val="-6"/>
          <w:sz w:val="32"/>
          <w:highlight w:val="none"/>
          <w:u w:val="none"/>
        </w:rPr>
        <w:t>收储</w:t>
      </w:r>
      <w:r>
        <w:rPr>
          <w:rFonts w:hint="eastAsia" w:ascii="仿宋_GB2312" w:hAnsi="仿宋_GB2312" w:eastAsia="仿宋_GB2312" w:cs="仿宋_GB2312"/>
          <w:color w:val="auto"/>
          <w:spacing w:val="-6"/>
          <w:sz w:val="32"/>
          <w:highlight w:val="none"/>
          <w:u w:val="none"/>
          <w:lang w:eastAsia="zh-CN"/>
        </w:rPr>
        <w:t>）改造</w:t>
      </w:r>
      <w:r>
        <w:rPr>
          <w:rFonts w:hint="eastAsia" w:ascii="仿宋_GB2312" w:hAnsi="仿宋_GB2312" w:eastAsia="仿宋_GB2312" w:cs="仿宋_GB2312"/>
          <w:color w:val="auto"/>
          <w:spacing w:val="-6"/>
          <w:sz w:val="32"/>
          <w:highlight w:val="none"/>
          <w:u w:val="none"/>
        </w:rPr>
        <w:t>方式</w:t>
      </w:r>
      <w:r>
        <w:rPr>
          <w:rFonts w:hint="eastAsia" w:ascii="仿宋_GB2312" w:hAnsi="仿宋_GB2312" w:eastAsia="仿宋_GB2312" w:cs="仿宋_GB2312"/>
          <w:color w:val="auto"/>
          <w:spacing w:val="-6"/>
          <w:sz w:val="32"/>
          <w:highlight w:val="none"/>
          <w:u w:val="none"/>
          <w:lang w:eastAsia="zh-CN"/>
        </w:rPr>
        <w:t>，</w:t>
      </w:r>
      <w:r>
        <w:rPr>
          <w:rFonts w:hint="eastAsia" w:ascii="仿宋_GB2312" w:hAnsi="仿宋_GB2312" w:eastAsia="仿宋_GB2312" w:cs="仿宋_GB2312"/>
          <w:color w:val="auto"/>
          <w:spacing w:val="-6"/>
          <w:sz w:val="32"/>
          <w:highlight w:val="none"/>
          <w:u w:val="none"/>
        </w:rPr>
        <w:t>由中山市板芙镇人民政府通过公开</w:t>
      </w:r>
      <w:r>
        <w:rPr>
          <w:rFonts w:hint="eastAsia" w:ascii="仿宋_GB2312" w:hAnsi="仿宋_GB2312" w:eastAsia="仿宋_GB2312" w:cs="仿宋_GB2312"/>
          <w:color w:val="auto"/>
          <w:spacing w:val="-6"/>
          <w:sz w:val="32"/>
          <w:highlight w:val="none"/>
          <w:u w:val="none"/>
          <w:lang w:val="en-US" w:eastAsia="zh-CN"/>
        </w:rPr>
        <w:t>出让</w:t>
      </w:r>
      <w:r>
        <w:rPr>
          <w:rFonts w:hint="eastAsia" w:ascii="仿宋_GB2312" w:hAnsi="仿宋_GB2312" w:eastAsia="仿宋_GB2312" w:cs="仿宋_GB2312"/>
          <w:color w:val="auto"/>
          <w:spacing w:val="-6"/>
          <w:sz w:val="32"/>
          <w:highlight w:val="none"/>
          <w:u w:val="none"/>
        </w:rPr>
        <w:t>方式确定改造主体实施全面改造。</w:t>
      </w:r>
    </w:p>
    <w:p>
      <w:pPr>
        <w:numPr>
          <w:ilvl w:val="0"/>
          <w:numId w:val="0"/>
        </w:numPr>
        <w:adjustRightInd w:val="0"/>
        <w:snapToGrid w:val="0"/>
        <w:spacing w:beforeLines="0" w:afterLines="0" w:line="574" w:lineRule="exact"/>
        <w:ind w:left="0" w:leftChars="0" w:firstLine="616" w:firstLineChars="200"/>
        <w:outlineLvl w:val="2"/>
        <w:rPr>
          <w:rFonts w:hint="eastAsia" w:ascii="楷体" w:hAnsi="楷体" w:eastAsia="楷体" w:cs="楷体"/>
          <w:color w:val="auto"/>
          <w:spacing w:val="-6"/>
          <w:kern w:val="0"/>
          <w:sz w:val="32"/>
          <w:szCs w:val="32"/>
          <w:highlight w:val="none"/>
          <w:u w:val="none"/>
        </w:rPr>
      </w:pPr>
      <w:bookmarkStart w:id="0" w:name="_Toc106128758"/>
      <w:r>
        <w:rPr>
          <w:rFonts w:hint="eastAsia" w:ascii="楷体" w:hAnsi="楷体" w:eastAsia="楷体" w:cs="楷体"/>
          <w:color w:val="auto"/>
          <w:spacing w:val="-6"/>
          <w:kern w:val="0"/>
          <w:sz w:val="32"/>
          <w:szCs w:val="32"/>
          <w:highlight w:val="none"/>
          <w:u w:val="none"/>
          <w:lang w:eastAsia="zh-CN"/>
        </w:rPr>
        <w:t>（二）</w:t>
      </w:r>
      <w:r>
        <w:rPr>
          <w:rFonts w:hint="eastAsia" w:ascii="楷体" w:hAnsi="楷体" w:eastAsia="楷体" w:cs="楷体"/>
          <w:color w:val="auto"/>
          <w:spacing w:val="-6"/>
          <w:kern w:val="0"/>
          <w:sz w:val="32"/>
          <w:szCs w:val="32"/>
          <w:highlight w:val="none"/>
          <w:u w:val="none"/>
        </w:rPr>
        <w:t>需办理的用地手续</w:t>
      </w:r>
      <w:bookmarkEnd w:id="0"/>
    </w:p>
    <w:p>
      <w:pPr>
        <w:keepNext w:val="0"/>
        <w:keepLines w:val="0"/>
        <w:pageBreakBefore w:val="0"/>
        <w:widowControl w:val="0"/>
        <w:kinsoku/>
        <w:wordWrap/>
        <w:overflowPunct/>
        <w:topLinePunct w:val="0"/>
        <w:bidi w:val="0"/>
        <w:snapToGrid/>
        <w:spacing w:line="360" w:lineRule="auto"/>
        <w:ind w:firstLine="616" w:firstLineChars="200"/>
        <w:textAlignment w:val="auto"/>
        <w:rPr>
          <w:rFonts w:hint="eastAsia" w:ascii="仿宋_GB2312" w:hAnsi="仿宋_GB2312" w:eastAsia="仿宋_GB2312" w:cs="仿宋_GB2312"/>
          <w:b w:val="0"/>
          <w:bCs w:val="0"/>
          <w:color w:val="000000"/>
          <w:spacing w:val="-6"/>
          <w:sz w:val="32"/>
          <w:szCs w:val="32"/>
          <w:highlight w:val="none"/>
          <w:lang w:val="en-US" w:eastAsia="zh-CN"/>
        </w:rPr>
      </w:pPr>
      <w:r>
        <w:rPr>
          <w:rFonts w:hint="eastAsia" w:ascii="仿宋_GB2312" w:hAnsi="仿宋_GB2312" w:eastAsia="仿宋_GB2312" w:cs="仿宋_GB2312"/>
          <w:color w:val="auto"/>
          <w:spacing w:val="-6"/>
          <w:sz w:val="32"/>
          <w:szCs w:val="24"/>
          <w:highlight w:val="none"/>
          <w:u w:val="none"/>
        </w:rPr>
        <w:t>改造</w:t>
      </w:r>
      <w:r>
        <w:rPr>
          <w:rFonts w:hint="eastAsia" w:ascii="仿宋_GB2312" w:hAnsi="仿宋_GB2312" w:eastAsia="仿宋_GB2312" w:cs="仿宋_GB2312"/>
          <w:color w:val="auto"/>
          <w:spacing w:val="-6"/>
          <w:sz w:val="32"/>
          <w:szCs w:val="24"/>
          <w:highlight w:val="none"/>
          <w:u w:val="none"/>
          <w:lang w:eastAsia="zh-CN"/>
        </w:rPr>
        <w:t>地块</w:t>
      </w:r>
      <w:r>
        <w:rPr>
          <w:rFonts w:hint="eastAsia" w:ascii="仿宋_GB2312" w:hAnsi="仿宋_GB2312" w:eastAsia="仿宋_GB2312" w:cs="仿宋_GB2312"/>
          <w:color w:val="auto"/>
          <w:spacing w:val="-6"/>
          <w:sz w:val="32"/>
          <w:szCs w:val="24"/>
          <w:highlight w:val="none"/>
          <w:u w:val="none"/>
          <w:lang w:val="en-US" w:eastAsia="zh-CN"/>
        </w:rPr>
        <w:t>1.5940公顷（15940.00平方米，折合约23.91亩）的国有建设用地，</w:t>
      </w:r>
      <w:r>
        <w:rPr>
          <w:rFonts w:hint="eastAsia" w:ascii="仿宋_GB2312" w:hAnsi="仿宋_GB2312" w:eastAsia="仿宋_GB2312" w:cs="仿宋_GB2312"/>
          <w:color w:val="auto"/>
          <w:spacing w:val="-6"/>
          <w:sz w:val="32"/>
          <w:szCs w:val="24"/>
          <w:highlight w:val="none"/>
          <w:u w:val="none"/>
          <w:lang w:eastAsia="zh-CN"/>
        </w:rPr>
        <w:t>由板芙镇人民政府与</w:t>
      </w:r>
      <w:r>
        <w:rPr>
          <w:rFonts w:hint="eastAsia" w:ascii="仿宋_GB2312" w:hAnsi="仿宋_GB2312" w:eastAsia="仿宋_GB2312" w:cs="仿宋_GB2312"/>
          <w:color w:val="auto"/>
          <w:spacing w:val="-6"/>
          <w:kern w:val="0"/>
          <w:sz w:val="32"/>
          <w:szCs w:val="32"/>
          <w:highlight w:val="none"/>
          <w:u w:val="none"/>
        </w:rPr>
        <w:t>中山市板芙镇白溪村经济联合社</w:t>
      </w:r>
      <w:r>
        <w:rPr>
          <w:rFonts w:hint="eastAsia" w:ascii="仿宋_GB2312" w:hAnsi="仿宋_GB2312" w:eastAsia="仿宋_GB2312" w:cs="仿宋_GB2312"/>
          <w:b w:val="0"/>
          <w:bCs w:val="0"/>
          <w:color w:val="000000"/>
          <w:spacing w:val="-6"/>
          <w:sz w:val="32"/>
          <w:szCs w:val="32"/>
          <w:highlight w:val="none"/>
          <w:lang w:val="en-US" w:eastAsia="zh-CN"/>
        </w:rPr>
        <w:t>签订收回国有用地协议，收储方案经市土委会审议通过后，由板芙镇政府申请收回国有土地使用权。</w:t>
      </w:r>
    </w:p>
    <w:p>
      <w:pPr>
        <w:numPr>
          <w:ilvl w:val="0"/>
          <w:numId w:val="1"/>
        </w:numPr>
        <w:adjustRightInd w:val="0"/>
        <w:snapToGrid w:val="0"/>
        <w:spacing w:beforeLines="0" w:afterLines="0" w:line="574" w:lineRule="exact"/>
        <w:ind w:left="0" w:leftChars="0" w:firstLine="616" w:firstLineChars="200"/>
        <w:outlineLvl w:val="2"/>
        <w:rPr>
          <w:rFonts w:hint="eastAsia" w:ascii="楷体" w:hAnsi="楷体" w:eastAsia="楷体" w:cs="楷体"/>
          <w:color w:val="auto"/>
          <w:spacing w:val="-6"/>
          <w:kern w:val="0"/>
          <w:sz w:val="32"/>
          <w:szCs w:val="32"/>
          <w:highlight w:val="none"/>
          <w:u w:val="none"/>
          <w:lang w:eastAsia="zh-CN"/>
        </w:rPr>
      </w:pPr>
      <w:r>
        <w:rPr>
          <w:rFonts w:hint="eastAsia" w:ascii="楷体" w:hAnsi="楷体" w:eastAsia="楷体" w:cs="楷体"/>
          <w:color w:val="auto"/>
          <w:spacing w:val="-6"/>
          <w:kern w:val="0"/>
          <w:sz w:val="32"/>
          <w:szCs w:val="32"/>
          <w:highlight w:val="none"/>
          <w:u w:val="none"/>
          <w:lang w:eastAsia="zh-CN"/>
        </w:rPr>
        <w:t>土地供应</w:t>
      </w:r>
    </w:p>
    <w:p>
      <w:pPr>
        <w:numPr>
          <w:ilvl w:val="0"/>
          <w:numId w:val="0"/>
        </w:numPr>
        <w:adjustRightInd w:val="0"/>
        <w:snapToGrid w:val="0"/>
        <w:spacing w:beforeLines="0" w:afterLines="0" w:line="574" w:lineRule="exact"/>
        <w:ind w:left="0" w:leftChars="0" w:firstLine="616" w:firstLineChars="200"/>
        <w:outlineLvl w:val="2"/>
        <w:rPr>
          <w:color w:val="auto"/>
          <w:highlight w:val="none"/>
          <w:u w:val="none"/>
        </w:rPr>
      </w:pPr>
      <w:r>
        <w:rPr>
          <w:rFonts w:hint="eastAsia" w:ascii="仿宋_GB2312" w:hAnsi="仿宋_GB2312" w:eastAsia="仿宋_GB2312" w:cs="仿宋_GB2312"/>
          <w:color w:val="auto"/>
          <w:spacing w:val="-6"/>
          <w:sz w:val="32"/>
          <w:szCs w:val="32"/>
          <w:highlight w:val="none"/>
          <w:u w:val="none"/>
          <w:lang w:val="en-US" w:eastAsia="zh-CN"/>
        </w:rPr>
        <w:t>改造地块1.5940公顷（15940.00平方米，折合约23.91亩）</w:t>
      </w:r>
      <w:r>
        <w:rPr>
          <w:rFonts w:hint="eastAsia" w:ascii="仿宋_GB2312" w:hAnsi="仿宋_GB2312" w:eastAsia="仿宋_GB2312" w:cs="仿宋_GB2312"/>
          <w:color w:val="auto"/>
          <w:spacing w:val="-6"/>
          <w:sz w:val="32"/>
          <w:highlight w:val="none"/>
          <w:u w:val="none"/>
          <w:lang w:val="en-US" w:eastAsia="zh-CN"/>
        </w:rPr>
        <w:t>全部</w:t>
      </w:r>
      <w:r>
        <w:rPr>
          <w:rFonts w:hint="eastAsia" w:ascii="仿宋_GB2312" w:hAnsi="仿宋_GB2312" w:eastAsia="仿宋_GB2312" w:cs="仿宋_GB2312"/>
          <w:color w:val="auto"/>
          <w:spacing w:val="-6"/>
          <w:sz w:val="32"/>
          <w:szCs w:val="24"/>
          <w:highlight w:val="none"/>
          <w:u w:val="none"/>
        </w:rPr>
        <w:t>交由政府</w:t>
      </w:r>
      <w:r>
        <w:rPr>
          <w:rFonts w:eastAsia="仿宋_GB2312"/>
          <w:color w:val="auto"/>
          <w:spacing w:val="-6"/>
          <w:sz w:val="32"/>
          <w:szCs w:val="32"/>
          <w:highlight w:val="none"/>
          <w:u w:val="none"/>
        </w:rPr>
        <w:t>整备（收储）</w:t>
      </w:r>
      <w:r>
        <w:rPr>
          <w:rFonts w:hint="eastAsia" w:ascii="仿宋_GB2312" w:hAnsi="仿宋_GB2312" w:eastAsia="仿宋_GB2312" w:cs="仿宋_GB2312"/>
          <w:color w:val="auto"/>
          <w:spacing w:val="-6"/>
          <w:sz w:val="32"/>
          <w:szCs w:val="32"/>
          <w:highlight w:val="none"/>
          <w:u w:val="none"/>
          <w:lang w:val="en-US" w:eastAsia="zh-CN"/>
        </w:rPr>
        <w:t>后，依据</w:t>
      </w:r>
      <w:r>
        <w:rPr>
          <w:rFonts w:hint="eastAsia" w:ascii="仿宋_GB2312" w:hAnsi="仿宋_GB2312" w:eastAsia="仿宋_GB2312" w:cs="仿宋_GB2312"/>
          <w:color w:val="auto"/>
          <w:spacing w:val="-6"/>
          <w:kern w:val="0"/>
          <w:sz w:val="32"/>
          <w:szCs w:val="32"/>
          <w:highlight w:val="none"/>
          <w:u w:val="none"/>
          <w:lang w:eastAsia="zh-CN"/>
        </w:rPr>
        <w:t>《中山市板芙镇顺景工业园北片区(2004单元)02街区控制性详细规划一般修改》（正在报批）</w:t>
      </w:r>
      <w:r>
        <w:rPr>
          <w:rFonts w:hint="eastAsia" w:ascii="仿宋_GB2312" w:hAnsi="仿宋_GB2312" w:eastAsia="仿宋_GB2312" w:cs="仿宋_GB2312"/>
          <w:color w:val="auto"/>
          <w:spacing w:val="-6"/>
          <w:sz w:val="32"/>
          <w:szCs w:val="32"/>
          <w:highlight w:val="none"/>
          <w:u w:val="none"/>
          <w:lang w:val="en-US" w:eastAsia="zh-CN"/>
        </w:rPr>
        <w:t>进行土地供应，规划为一类工业用地</w:t>
      </w:r>
      <w:r>
        <w:rPr>
          <w:rFonts w:hint="eastAsia" w:ascii="仿宋_GB2312" w:hAnsi="仿宋_GB2312" w:eastAsia="仿宋_GB2312" w:cs="仿宋_GB2312"/>
          <w:color w:val="auto"/>
          <w:spacing w:val="-6"/>
          <w:kern w:val="0"/>
          <w:sz w:val="32"/>
          <w:szCs w:val="32"/>
          <w:highlight w:val="none"/>
          <w:u w:val="none"/>
          <w:lang w:val="en-US" w:eastAsia="zh-CN"/>
        </w:rPr>
        <w:t>1.4626公顷（14625.66平方米，折合约21.94亩）</w:t>
      </w:r>
      <w:r>
        <w:rPr>
          <w:rFonts w:hint="eastAsia" w:ascii="仿宋_GB2312" w:hAnsi="仿宋_GB2312" w:eastAsia="仿宋_GB2312" w:cs="仿宋_GB2312"/>
          <w:b w:val="0"/>
          <w:bCs w:val="0"/>
          <w:color w:val="auto"/>
          <w:spacing w:val="-6"/>
          <w:kern w:val="0"/>
          <w:sz w:val="32"/>
          <w:szCs w:val="32"/>
          <w:highlight w:val="none"/>
          <w:lang w:val="en-US" w:eastAsia="zh-CN"/>
        </w:rPr>
        <w:t>拟按</w:t>
      </w:r>
      <w:r>
        <w:rPr>
          <w:rFonts w:hint="eastAsia" w:ascii="仿宋_GB2312" w:hAnsi="仿宋_GB2312" w:eastAsia="仿宋_GB2312" w:cs="仿宋_GB2312"/>
          <w:spacing w:val="-6"/>
          <w:sz w:val="32"/>
          <w:szCs w:val="32"/>
          <w:highlight w:val="none"/>
          <w:lang w:val="en-US" w:eastAsia="zh-CN"/>
        </w:rPr>
        <w:t>容积率3.0-3.5</w:t>
      </w:r>
      <w:r>
        <w:rPr>
          <w:rFonts w:hint="eastAsia" w:ascii="仿宋_GB2312" w:hAnsi="仿宋_GB2312" w:eastAsia="仿宋_GB2312" w:cs="仿宋_GB2312"/>
          <w:b w:val="0"/>
          <w:bCs w:val="0"/>
          <w:color w:val="auto"/>
          <w:spacing w:val="-6"/>
          <w:kern w:val="0"/>
          <w:sz w:val="32"/>
          <w:szCs w:val="32"/>
          <w:highlight w:val="none"/>
          <w:lang w:val="en-US" w:eastAsia="zh-CN"/>
        </w:rPr>
        <w:t>采用公开出让方式</w:t>
      </w:r>
      <w:r>
        <w:rPr>
          <w:rFonts w:hint="eastAsia" w:ascii="仿宋_GB2312" w:hAnsi="仿宋_GB2312" w:eastAsia="仿宋_GB2312" w:cs="仿宋_GB2312"/>
          <w:spacing w:val="-6"/>
          <w:sz w:val="32"/>
          <w:szCs w:val="32"/>
          <w:highlight w:val="none"/>
          <w:lang w:val="en-US" w:eastAsia="zh-CN"/>
        </w:rPr>
        <w:t>供地给改造主体；</w:t>
      </w:r>
      <w:r>
        <w:rPr>
          <w:rFonts w:hint="eastAsia" w:ascii="仿宋_GB2312" w:hAnsi="仿宋_GB2312" w:eastAsia="仿宋_GB2312" w:cs="仿宋_GB2312"/>
          <w:color w:val="auto"/>
          <w:spacing w:val="-6"/>
          <w:kern w:val="2"/>
          <w:sz w:val="32"/>
          <w:szCs w:val="24"/>
          <w:highlight w:val="none"/>
          <w:u w:val="none"/>
          <w:lang w:eastAsia="zh-CN"/>
        </w:rPr>
        <w:t>规划为公共绿地0.0407公顷（406.95平方米，折合约0.61亩）、道路用地0.0907公顷（907.39平方米，折合约1.36亩）</w:t>
      </w:r>
      <w:r>
        <w:rPr>
          <w:rFonts w:hint="eastAsia" w:ascii="仿宋_GB2312" w:hAnsi="仿宋_GB2312" w:eastAsia="仿宋_GB2312" w:cs="仿宋_GB2312"/>
          <w:spacing w:val="-6"/>
          <w:sz w:val="32"/>
          <w:szCs w:val="32"/>
          <w:highlight w:val="none"/>
          <w:lang w:eastAsia="zh-CN"/>
        </w:rPr>
        <w:t>采用</w:t>
      </w:r>
      <w:r>
        <w:rPr>
          <w:rFonts w:hint="eastAsia" w:ascii="仿宋_GB2312" w:hAnsi="仿宋_GB2312" w:eastAsia="仿宋_GB2312" w:cs="仿宋_GB2312"/>
          <w:spacing w:val="-6"/>
          <w:sz w:val="32"/>
          <w:szCs w:val="32"/>
          <w:highlight w:val="none"/>
        </w:rPr>
        <w:t>划拨</w:t>
      </w:r>
      <w:r>
        <w:rPr>
          <w:rFonts w:hint="eastAsia" w:ascii="仿宋_GB2312" w:hAnsi="仿宋_GB2312" w:eastAsia="仿宋_GB2312" w:cs="仿宋_GB2312"/>
          <w:spacing w:val="-6"/>
          <w:sz w:val="32"/>
          <w:szCs w:val="32"/>
          <w:highlight w:val="none"/>
          <w:lang w:eastAsia="zh-CN"/>
        </w:rPr>
        <w:t>方式供地</w:t>
      </w:r>
      <w:r>
        <w:rPr>
          <w:rFonts w:hint="eastAsia" w:ascii="仿宋_GB2312" w:hAnsi="仿宋_GB2312" w:eastAsia="仿宋_GB2312" w:cs="仿宋_GB2312"/>
          <w:color w:val="auto"/>
          <w:spacing w:val="-6"/>
          <w:sz w:val="32"/>
          <w:szCs w:val="32"/>
          <w:highlight w:val="none"/>
          <w:u w:val="none"/>
          <w:lang w:val="en-US" w:eastAsia="zh-CN"/>
        </w:rPr>
        <w:t>板芙镇人民政府</w:t>
      </w:r>
      <w:r>
        <w:rPr>
          <w:rFonts w:hint="eastAsia" w:ascii="仿宋_GB2312" w:hAnsi="仿宋_GB2312" w:eastAsia="仿宋_GB2312" w:cs="仿宋_GB2312"/>
          <w:color w:val="auto"/>
          <w:spacing w:val="-6"/>
          <w:kern w:val="2"/>
          <w:sz w:val="32"/>
          <w:szCs w:val="24"/>
          <w:highlight w:val="none"/>
          <w:u w:val="none"/>
          <w:lang w:eastAsia="zh-CN"/>
        </w:rPr>
        <w:t>。</w:t>
      </w:r>
    </w:p>
    <w:p>
      <w:pPr>
        <w:adjustRightInd w:val="0"/>
        <w:snapToGrid w:val="0"/>
        <w:spacing w:beforeLines="0" w:afterLines="0" w:line="574" w:lineRule="exact"/>
        <w:ind w:firstLine="616"/>
        <w:outlineLvl w:val="2"/>
        <w:rPr>
          <w:rFonts w:ascii="楷体" w:hAnsi="楷体" w:eastAsia="楷体" w:cs="楷体"/>
          <w:color w:val="auto"/>
          <w:spacing w:val="-6"/>
          <w:kern w:val="0"/>
          <w:sz w:val="32"/>
          <w:szCs w:val="32"/>
          <w:highlight w:val="none"/>
          <w:u w:val="none"/>
        </w:rPr>
      </w:pPr>
      <w:bookmarkStart w:id="1" w:name="_Toc106128759"/>
      <w:r>
        <w:rPr>
          <w:rFonts w:hint="eastAsia" w:ascii="楷体" w:hAnsi="楷体" w:eastAsia="楷体" w:cs="楷体"/>
          <w:color w:val="auto"/>
          <w:spacing w:val="-6"/>
          <w:kern w:val="0"/>
          <w:sz w:val="32"/>
          <w:szCs w:val="32"/>
          <w:highlight w:val="none"/>
          <w:u w:val="none"/>
        </w:rPr>
        <w:t>（</w:t>
      </w:r>
      <w:r>
        <w:rPr>
          <w:rFonts w:hint="eastAsia" w:ascii="楷体" w:hAnsi="楷体" w:eastAsia="楷体" w:cs="楷体"/>
          <w:color w:val="auto"/>
          <w:spacing w:val="-6"/>
          <w:kern w:val="0"/>
          <w:sz w:val="32"/>
          <w:szCs w:val="32"/>
          <w:highlight w:val="none"/>
          <w:u w:val="none"/>
          <w:lang w:eastAsia="zh-CN"/>
        </w:rPr>
        <w:t>四</w:t>
      </w:r>
      <w:r>
        <w:rPr>
          <w:rFonts w:hint="eastAsia" w:ascii="楷体" w:hAnsi="楷体" w:eastAsia="楷体" w:cs="楷体"/>
          <w:color w:val="auto"/>
          <w:spacing w:val="-6"/>
          <w:kern w:val="0"/>
          <w:sz w:val="32"/>
          <w:szCs w:val="32"/>
          <w:highlight w:val="none"/>
          <w:u w:val="none"/>
        </w:rPr>
        <w:t>）拟改造情况</w:t>
      </w:r>
      <w:bookmarkEnd w:id="1"/>
    </w:p>
    <w:p>
      <w:pPr>
        <w:adjustRightInd w:val="0"/>
        <w:snapToGrid w:val="0"/>
        <w:spacing w:beforeLines="0" w:afterLines="0" w:line="574" w:lineRule="exact"/>
        <w:ind w:firstLine="616" w:firstLineChars="200"/>
        <w:rPr>
          <w:rFonts w:hint="eastAsia" w:ascii="仿宋_GB2312" w:hAnsi="仿宋_GB2312" w:eastAsia="仿宋_GB2312" w:cs="仿宋_GB2312"/>
          <w:color w:val="auto"/>
          <w:spacing w:val="-6"/>
          <w:sz w:val="32"/>
          <w:highlight w:val="none"/>
          <w:u w:val="none"/>
        </w:rPr>
      </w:pPr>
      <w:r>
        <w:rPr>
          <w:rFonts w:hint="eastAsia" w:ascii="仿宋_GB2312" w:hAnsi="仿宋_GB2312" w:eastAsia="仿宋_GB2312" w:cs="仿宋_GB2312"/>
          <w:color w:val="auto"/>
          <w:spacing w:val="-6"/>
          <w:sz w:val="32"/>
          <w:szCs w:val="32"/>
          <w:highlight w:val="none"/>
          <w:u w:val="none"/>
        </w:rPr>
        <w:t>公开出让的</w:t>
      </w:r>
      <w:r>
        <w:rPr>
          <w:rFonts w:hint="eastAsia" w:ascii="仿宋_GB2312" w:hAnsi="仿宋_GB2312" w:eastAsia="仿宋_GB2312" w:cs="仿宋_GB2312"/>
          <w:color w:val="auto"/>
          <w:spacing w:val="-6"/>
          <w:sz w:val="32"/>
          <w:highlight w:val="none"/>
          <w:u w:val="none"/>
          <w:lang w:val="en-US" w:eastAsia="zh-CN"/>
        </w:rPr>
        <w:t>1.4626公顷（14625.66平方米，折合约21.94亩）</w:t>
      </w:r>
      <w:r>
        <w:rPr>
          <w:rFonts w:hint="eastAsia" w:ascii="仿宋_GB2312" w:hAnsi="仿宋_GB2312" w:eastAsia="仿宋_GB2312" w:cs="仿宋_GB2312"/>
          <w:color w:val="auto"/>
          <w:spacing w:val="-6"/>
          <w:sz w:val="32"/>
          <w:szCs w:val="32"/>
          <w:highlight w:val="none"/>
          <w:u w:val="none"/>
        </w:rPr>
        <w:t>规划</w:t>
      </w:r>
      <w:r>
        <w:rPr>
          <w:rFonts w:hint="eastAsia" w:ascii="仿宋_GB2312" w:hAnsi="仿宋_GB2312" w:eastAsia="仿宋_GB2312" w:cs="仿宋_GB2312"/>
          <w:color w:val="auto"/>
          <w:spacing w:val="-6"/>
          <w:sz w:val="32"/>
          <w:szCs w:val="32"/>
          <w:highlight w:val="none"/>
          <w:u w:val="none"/>
          <w:lang w:eastAsia="zh-CN"/>
        </w:rPr>
        <w:t>一</w:t>
      </w:r>
      <w:r>
        <w:rPr>
          <w:rFonts w:hint="eastAsia" w:ascii="仿宋_GB2312" w:hAnsi="仿宋_GB2312" w:eastAsia="仿宋_GB2312" w:cs="仿宋_GB2312"/>
          <w:color w:val="auto"/>
          <w:spacing w:val="-6"/>
          <w:sz w:val="32"/>
          <w:szCs w:val="32"/>
          <w:highlight w:val="none"/>
          <w:u w:val="none"/>
        </w:rPr>
        <w:t>类工业用地，</w:t>
      </w:r>
      <w:r>
        <w:rPr>
          <w:rFonts w:hint="eastAsia" w:ascii="仿宋_GB2312" w:hAnsi="仿宋_GB2312" w:eastAsia="仿宋_GB2312" w:cs="仿宋_GB2312"/>
          <w:color w:val="auto"/>
          <w:spacing w:val="-6"/>
          <w:sz w:val="32"/>
          <w:highlight w:val="none"/>
          <w:u w:val="none"/>
        </w:rPr>
        <w:t>改造后将用于工业用途，引入</w:t>
      </w:r>
      <w:r>
        <w:rPr>
          <w:rFonts w:hint="eastAsia" w:ascii="仿宋_GB2312" w:hAnsi="仿宋_GB2312" w:eastAsia="仿宋_GB2312" w:cs="仿宋_GB2312"/>
          <w:color w:val="auto"/>
          <w:spacing w:val="-6"/>
          <w:sz w:val="32"/>
          <w:highlight w:val="none"/>
          <w:u w:val="none"/>
          <w:lang w:val="en-US" w:eastAsia="zh-CN"/>
        </w:rPr>
        <w:t>加工、生产、销售建筑材料、门、窗、橱柜、护栏、五金制品、塑胶制品、木制品、铁线制品、玻璃制品、铝材制品、不锈钢制品；承接幕墙工程；货物及技术进出口等产业类型</w:t>
      </w:r>
      <w:r>
        <w:rPr>
          <w:rFonts w:hint="eastAsia" w:ascii="仿宋_GB2312" w:hAnsi="仿宋_GB2312" w:eastAsia="仿宋_GB2312" w:cs="仿宋_GB2312"/>
          <w:color w:val="auto"/>
          <w:spacing w:val="-6"/>
          <w:sz w:val="32"/>
          <w:highlight w:val="none"/>
          <w:u w:val="none"/>
          <w:lang w:eastAsia="zh-CN"/>
        </w:rPr>
        <w:t>。</w:t>
      </w:r>
      <w:r>
        <w:rPr>
          <w:rFonts w:hint="eastAsia" w:ascii="仿宋_GB2312" w:hAnsi="仿宋_GB2312" w:eastAsia="仿宋_GB2312" w:cs="仿宋_GB2312"/>
          <w:color w:val="auto"/>
          <w:spacing w:val="-6"/>
          <w:sz w:val="32"/>
          <w:highlight w:val="none"/>
          <w:u w:val="none"/>
        </w:rPr>
        <w:t>在符合</w:t>
      </w:r>
      <w:r>
        <w:rPr>
          <w:rFonts w:hint="eastAsia" w:ascii="仿宋_GB2312" w:hAnsi="仿宋_GB2312" w:eastAsia="仿宋_GB2312" w:cs="仿宋_GB2312"/>
          <w:b w:val="0"/>
          <w:bCs w:val="0"/>
          <w:color w:val="auto"/>
          <w:spacing w:val="-6"/>
          <w:kern w:val="0"/>
          <w:sz w:val="32"/>
          <w:szCs w:val="32"/>
          <w:highlight w:val="none"/>
          <w:u w:val="none"/>
        </w:rPr>
        <w:t>详细规划</w:t>
      </w:r>
      <w:r>
        <w:rPr>
          <w:rFonts w:hint="eastAsia" w:ascii="仿宋_GB2312" w:hAnsi="仿宋_GB2312" w:eastAsia="仿宋_GB2312" w:cs="仿宋_GB2312"/>
          <w:color w:val="auto"/>
          <w:spacing w:val="-6"/>
          <w:sz w:val="32"/>
          <w:highlight w:val="none"/>
          <w:u w:val="none"/>
        </w:rPr>
        <w:t>的基础上，容积率不</w:t>
      </w:r>
      <w:r>
        <w:rPr>
          <w:rFonts w:hint="eastAsia" w:ascii="仿宋_GB2312" w:hAnsi="仿宋_GB2312" w:eastAsia="仿宋_GB2312" w:cs="仿宋_GB2312"/>
          <w:color w:val="auto"/>
          <w:spacing w:val="-6"/>
          <w:sz w:val="32"/>
          <w:highlight w:val="none"/>
          <w:u w:val="none"/>
          <w:lang w:val="en-US" w:eastAsia="zh-CN"/>
        </w:rPr>
        <w:t>低于3.0</w:t>
      </w:r>
      <w:r>
        <w:rPr>
          <w:rFonts w:hint="eastAsia" w:ascii="仿宋_GB2312" w:hAnsi="仿宋_GB2312" w:eastAsia="仿宋_GB2312" w:cs="仿宋_GB2312"/>
          <w:color w:val="auto"/>
          <w:spacing w:val="-6"/>
          <w:sz w:val="32"/>
          <w:highlight w:val="none"/>
          <w:u w:val="none"/>
        </w:rPr>
        <w:t>，总</w:t>
      </w:r>
      <w:r>
        <w:rPr>
          <w:rFonts w:hint="eastAsia" w:ascii="仿宋_GB2312" w:hAnsi="仿宋_GB2312" w:eastAsia="仿宋_GB2312" w:cs="仿宋_GB2312"/>
          <w:color w:val="auto"/>
          <w:spacing w:val="-6"/>
          <w:sz w:val="32"/>
          <w:highlight w:val="none"/>
          <w:u w:val="none"/>
          <w:lang w:val="en-US" w:eastAsia="zh-CN"/>
        </w:rPr>
        <w:t>计容建筑</w:t>
      </w:r>
      <w:r>
        <w:rPr>
          <w:rFonts w:hint="eastAsia" w:ascii="仿宋_GB2312" w:hAnsi="仿宋_GB2312" w:eastAsia="仿宋_GB2312" w:cs="仿宋_GB2312"/>
          <w:color w:val="auto"/>
          <w:spacing w:val="-6"/>
          <w:sz w:val="32"/>
          <w:highlight w:val="none"/>
          <w:u w:val="none"/>
        </w:rPr>
        <w:t>面积不</w:t>
      </w:r>
      <w:r>
        <w:rPr>
          <w:rFonts w:hint="eastAsia" w:ascii="仿宋_GB2312" w:hAnsi="仿宋_GB2312" w:eastAsia="仿宋_GB2312" w:cs="仿宋_GB2312"/>
          <w:color w:val="auto"/>
          <w:spacing w:val="-6"/>
          <w:sz w:val="32"/>
          <w:highlight w:val="none"/>
          <w:u w:val="none"/>
          <w:lang w:val="en-US" w:eastAsia="zh-CN"/>
        </w:rPr>
        <w:t>小于43876.98平方米</w:t>
      </w:r>
      <w:r>
        <w:rPr>
          <w:rFonts w:hint="eastAsia" w:ascii="仿宋_GB2312" w:hAnsi="仿宋_GB2312" w:eastAsia="仿宋_GB2312" w:cs="仿宋_GB2312"/>
          <w:color w:val="auto"/>
          <w:spacing w:val="-6"/>
          <w:sz w:val="32"/>
          <w:highlight w:val="none"/>
          <w:u w:val="none"/>
        </w:rPr>
        <w:t>，其中新建建筑面积</w:t>
      </w:r>
      <w:r>
        <w:rPr>
          <w:rFonts w:hint="eastAsia" w:ascii="仿宋_GB2312" w:hAnsi="仿宋_GB2312" w:eastAsia="仿宋_GB2312" w:cs="仿宋_GB2312"/>
          <w:color w:val="auto"/>
          <w:spacing w:val="-6"/>
          <w:sz w:val="32"/>
          <w:highlight w:val="none"/>
          <w:u w:val="none"/>
          <w:lang w:val="en-US" w:eastAsia="zh-CN"/>
        </w:rPr>
        <w:t>不小于43876.98平方米</w:t>
      </w:r>
      <w:r>
        <w:rPr>
          <w:rFonts w:hint="eastAsia" w:ascii="仿宋_GB2312" w:hAnsi="仿宋_GB2312" w:eastAsia="仿宋_GB2312" w:cs="仿宋_GB2312"/>
          <w:color w:val="auto"/>
          <w:spacing w:val="-6"/>
          <w:sz w:val="32"/>
          <w:highlight w:val="none"/>
          <w:u w:val="none"/>
        </w:rPr>
        <w:t>，</w:t>
      </w:r>
      <w:r>
        <w:rPr>
          <w:rFonts w:hint="eastAsia" w:ascii="仿宋_GB2312" w:hAnsi="仿宋_GB2312" w:eastAsia="仿宋_GB2312" w:cs="仿宋_GB2312"/>
          <w:color w:val="auto"/>
          <w:spacing w:val="-6"/>
          <w:sz w:val="32"/>
          <w:highlight w:val="none"/>
          <w:u w:val="none"/>
          <w:lang w:eastAsia="zh-CN"/>
        </w:rPr>
        <w:t>不</w:t>
      </w:r>
      <w:r>
        <w:rPr>
          <w:rFonts w:hint="eastAsia" w:ascii="仿宋_GB2312" w:hAnsi="仿宋_GB2312" w:eastAsia="仿宋_GB2312" w:cs="仿宋_GB2312"/>
          <w:color w:val="auto"/>
          <w:spacing w:val="-6"/>
          <w:sz w:val="32"/>
          <w:highlight w:val="none"/>
          <w:u w:val="none"/>
        </w:rPr>
        <w:t>保留</w:t>
      </w:r>
      <w:r>
        <w:rPr>
          <w:rFonts w:hint="eastAsia" w:ascii="仿宋_GB2312" w:hAnsi="仿宋_GB2312" w:eastAsia="仿宋_GB2312" w:cs="仿宋_GB2312"/>
          <w:color w:val="auto"/>
          <w:spacing w:val="-6"/>
          <w:sz w:val="32"/>
          <w:highlight w:val="none"/>
          <w:u w:val="none"/>
          <w:lang w:eastAsia="zh-CN"/>
        </w:rPr>
        <w:t>原</w:t>
      </w:r>
      <w:r>
        <w:rPr>
          <w:rFonts w:hint="eastAsia" w:ascii="仿宋_GB2312" w:hAnsi="仿宋_GB2312" w:eastAsia="仿宋_GB2312" w:cs="仿宋_GB2312"/>
          <w:color w:val="auto"/>
          <w:spacing w:val="-6"/>
          <w:sz w:val="32"/>
          <w:highlight w:val="none"/>
          <w:u w:val="none"/>
        </w:rPr>
        <w:t>建筑。</w:t>
      </w:r>
    </w:p>
    <w:p>
      <w:pPr>
        <w:adjustRightInd w:val="0"/>
        <w:snapToGrid w:val="0"/>
        <w:spacing w:beforeLines="0" w:afterLines="0" w:line="574" w:lineRule="exact"/>
        <w:ind w:firstLine="616" w:firstLineChars="200"/>
        <w:rPr>
          <w:rFonts w:hint="eastAsia" w:ascii="仿宋_GB2312" w:hAnsi="仿宋_GB2312" w:eastAsia="仿宋_GB2312" w:cs="仿宋_GB2312"/>
          <w:color w:val="auto"/>
          <w:spacing w:val="-6"/>
          <w:sz w:val="32"/>
          <w:highlight w:val="none"/>
          <w:u w:val="none"/>
        </w:rPr>
      </w:pPr>
      <w:r>
        <w:rPr>
          <w:rFonts w:hint="eastAsia" w:ascii="仿宋_GB2312" w:hAnsi="仿宋_GB2312" w:eastAsia="仿宋_GB2312" w:cs="仿宋_GB2312"/>
          <w:color w:val="auto"/>
          <w:spacing w:val="-6"/>
          <w:sz w:val="32"/>
          <w:highlight w:val="none"/>
          <w:u w:val="none"/>
        </w:rPr>
        <w:t>项目相关情况符合国家《产业结构调整指导目录》、《</w:t>
      </w:r>
      <w:r>
        <w:rPr>
          <w:rFonts w:hint="eastAsia" w:ascii="仿宋_GB2312" w:hAnsi="仿宋_GB2312" w:eastAsia="仿宋_GB2312" w:cs="仿宋_GB2312"/>
          <w:color w:val="auto"/>
          <w:spacing w:val="-6"/>
          <w:sz w:val="32"/>
          <w:szCs w:val="32"/>
          <w:highlight w:val="none"/>
          <w:u w:val="none"/>
        </w:rPr>
        <w:t>中山市“三线一单”生态环境分区管控方案</w:t>
      </w:r>
      <w:r>
        <w:rPr>
          <w:rFonts w:hint="eastAsia" w:ascii="仿宋_GB2312" w:hAnsi="仿宋_GB2312" w:eastAsia="仿宋_GB2312" w:cs="仿宋_GB2312"/>
          <w:color w:val="auto"/>
          <w:spacing w:val="-6"/>
          <w:sz w:val="32"/>
          <w:highlight w:val="none"/>
          <w:u w:val="none"/>
        </w:rPr>
        <w:t>》、《中山市涉挥发性有机物项目环保管理规定》。改造后年产值将达到</w:t>
      </w:r>
      <w:r>
        <w:rPr>
          <w:rFonts w:hint="eastAsia" w:ascii="仿宋_GB2312" w:hAnsi="仿宋_GB2312" w:eastAsia="仿宋_GB2312" w:cs="仿宋_GB2312"/>
          <w:color w:val="auto"/>
          <w:spacing w:val="-6"/>
          <w:sz w:val="32"/>
          <w:highlight w:val="none"/>
          <w:u w:val="none"/>
          <w:lang w:val="en-US" w:eastAsia="zh-CN"/>
        </w:rPr>
        <w:t>26328</w:t>
      </w:r>
      <w:r>
        <w:rPr>
          <w:rFonts w:hint="eastAsia" w:ascii="仿宋_GB2312" w:hAnsi="仿宋_GB2312" w:eastAsia="仿宋_GB2312" w:cs="仿宋_GB2312"/>
          <w:color w:val="auto"/>
          <w:spacing w:val="-6"/>
          <w:sz w:val="32"/>
          <w:highlight w:val="none"/>
          <w:u w:val="none"/>
        </w:rPr>
        <w:t>万元</w:t>
      </w:r>
      <w:r>
        <w:rPr>
          <w:rFonts w:hint="eastAsia" w:ascii="仿宋_GB2312" w:hAnsi="仿宋_GB2312" w:eastAsia="仿宋_GB2312" w:cs="仿宋_GB2312"/>
          <w:color w:val="auto"/>
          <w:spacing w:val="-6"/>
          <w:sz w:val="32"/>
          <w:highlight w:val="none"/>
          <w:u w:val="none"/>
          <w:lang w:eastAsia="zh-CN"/>
        </w:rPr>
        <w:t>（约</w:t>
      </w:r>
      <w:r>
        <w:rPr>
          <w:rFonts w:hint="eastAsia" w:ascii="仿宋_GB2312" w:hAnsi="仿宋_GB2312" w:eastAsia="仿宋_GB2312" w:cs="仿宋_GB2312"/>
          <w:color w:val="auto"/>
          <w:spacing w:val="-6"/>
          <w:kern w:val="2"/>
          <w:sz w:val="32"/>
          <w:szCs w:val="24"/>
          <w:highlight w:val="none"/>
          <w:u w:val="none"/>
          <w:lang w:val="en-US" w:eastAsia="zh-CN"/>
        </w:rPr>
        <w:t>1200</w:t>
      </w:r>
      <w:r>
        <w:rPr>
          <w:rFonts w:hint="eastAsia" w:ascii="仿宋_GB2312" w:hAnsi="仿宋_GB2312" w:eastAsia="仿宋_GB2312" w:cs="仿宋_GB2312"/>
          <w:color w:val="auto"/>
          <w:spacing w:val="-6"/>
          <w:kern w:val="2"/>
          <w:sz w:val="32"/>
          <w:szCs w:val="24"/>
          <w:highlight w:val="none"/>
          <w:u w:val="none"/>
          <w:lang w:eastAsia="zh-CN"/>
        </w:rPr>
        <w:t>万</w:t>
      </w:r>
      <w:r>
        <w:rPr>
          <w:rFonts w:hint="eastAsia" w:ascii="仿宋_GB2312" w:hAnsi="仿宋_GB2312" w:eastAsia="仿宋_GB2312" w:cs="仿宋_GB2312"/>
          <w:color w:val="auto"/>
          <w:spacing w:val="-6"/>
          <w:kern w:val="2"/>
          <w:sz w:val="32"/>
          <w:szCs w:val="24"/>
          <w:highlight w:val="none"/>
          <w:u w:val="none"/>
          <w:lang w:val="en-US" w:eastAsia="zh-CN"/>
        </w:rPr>
        <w:t>/亩</w:t>
      </w:r>
      <w:r>
        <w:rPr>
          <w:rFonts w:hint="eastAsia" w:ascii="仿宋_GB2312" w:hAnsi="仿宋_GB2312" w:eastAsia="仿宋_GB2312" w:cs="仿宋_GB2312"/>
          <w:color w:val="auto"/>
          <w:spacing w:val="-6"/>
          <w:sz w:val="32"/>
          <w:highlight w:val="none"/>
          <w:u w:val="none"/>
          <w:lang w:eastAsia="zh-CN"/>
        </w:rPr>
        <w:t>）</w:t>
      </w:r>
      <w:r>
        <w:rPr>
          <w:rFonts w:hint="eastAsia" w:ascii="仿宋_GB2312" w:hAnsi="仿宋_GB2312" w:eastAsia="仿宋_GB2312" w:cs="仿宋_GB2312"/>
          <w:color w:val="auto"/>
          <w:spacing w:val="-6"/>
          <w:sz w:val="32"/>
          <w:highlight w:val="none"/>
          <w:u w:val="none"/>
        </w:rPr>
        <w:t>，</w:t>
      </w:r>
      <w:r>
        <w:rPr>
          <w:rFonts w:hint="eastAsia" w:ascii="仿宋_GB2312" w:hAnsi="仿宋_GB2312" w:eastAsia="仿宋_GB2312" w:cs="仿宋_GB2312"/>
          <w:color w:val="auto"/>
          <w:spacing w:val="-6"/>
          <w:sz w:val="32"/>
          <w:highlight w:val="none"/>
          <w:lang w:eastAsia="zh-CN"/>
        </w:rPr>
        <w:t>所产生的年税收以土地公开出让时项目招商准入审定结果为准</w:t>
      </w:r>
      <w:r>
        <w:rPr>
          <w:rFonts w:hint="eastAsia" w:ascii="仿宋_GB2312" w:hAnsi="仿宋_GB2312" w:eastAsia="仿宋_GB2312" w:cs="仿宋_GB2312"/>
          <w:color w:val="auto"/>
          <w:spacing w:val="-6"/>
          <w:sz w:val="32"/>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资金筹措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16" w:firstLineChars="200"/>
        <w:jc w:val="left"/>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公开出让的1.4626公顷（14625.66平方米，折合约21.94亩）规划一类工业用地，由改造主体投入资金不少于</w:t>
      </w:r>
      <w:r>
        <w:rPr>
          <w:rFonts w:hint="eastAsia" w:ascii="仿宋_GB2312" w:hAnsi="仿宋_GB2312" w:eastAsia="仿宋_GB2312" w:cs="仿宋_GB2312"/>
          <w:color w:val="auto"/>
          <w:spacing w:val="-6"/>
          <w:kern w:val="0"/>
          <w:sz w:val="32"/>
          <w:szCs w:val="32"/>
          <w:highlight w:val="none"/>
          <w:u w:val="none"/>
          <w:lang w:val="en-US" w:eastAsia="zh-CN"/>
        </w:rPr>
        <w:t>13164</w:t>
      </w:r>
      <w:r>
        <w:rPr>
          <w:rFonts w:hint="eastAsia" w:ascii="仿宋_GB2312" w:hAnsi="仿宋_GB2312" w:eastAsia="仿宋_GB2312" w:cs="仿宋_GB2312"/>
          <w:color w:val="auto"/>
          <w:spacing w:val="-6"/>
          <w:kern w:val="0"/>
          <w:sz w:val="32"/>
          <w:szCs w:val="32"/>
          <w:highlight w:val="none"/>
          <w:u w:val="none"/>
        </w:rPr>
        <w:t>万元（约600万/亩）进行改造（包含竞拍土地成本），以上数据以最终实际发生为准</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b w:val="0"/>
          <w:bCs w:val="0"/>
          <w:color w:val="000000"/>
          <w:spacing w:val="-6"/>
          <w:sz w:val="32"/>
          <w:szCs w:val="32"/>
          <w:highlight w:val="none"/>
          <w:lang w:val="en-US" w:eastAsia="zh-CN"/>
        </w:rPr>
        <w:t>划拨给板芙镇人民政府的</w:t>
      </w:r>
      <w:r>
        <w:rPr>
          <w:rFonts w:hint="eastAsia" w:ascii="仿宋_GB2312" w:hAnsi="仿宋_GB2312" w:eastAsia="仿宋_GB2312" w:cs="仿宋_GB2312"/>
          <w:color w:val="auto"/>
          <w:spacing w:val="-6"/>
          <w:kern w:val="2"/>
          <w:sz w:val="32"/>
          <w:szCs w:val="24"/>
          <w:highlight w:val="none"/>
          <w:u w:val="none"/>
          <w:lang w:eastAsia="zh-CN"/>
        </w:rPr>
        <w:t>公共绿地0.0407公顷（406.95平方米，折合约0.61亩）、道路用地0.0907公顷（907.39平方米，折合约1.36亩），</w:t>
      </w:r>
      <w:r>
        <w:rPr>
          <w:rFonts w:hint="eastAsia" w:ascii="仿宋_GB2312" w:hAnsi="仿宋_GB2312" w:eastAsia="仿宋_GB2312" w:cs="仿宋_GB2312"/>
          <w:b w:val="0"/>
          <w:bCs w:val="0"/>
          <w:color w:val="000000"/>
          <w:spacing w:val="-6"/>
          <w:sz w:val="32"/>
          <w:szCs w:val="32"/>
          <w:highlight w:val="none"/>
          <w:lang w:val="en-US" w:eastAsia="zh-CN"/>
        </w:rPr>
        <w:t>由板芙镇人民政府投入资金进行建设。</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开发时序</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公开出让的1.4626公顷（14625.66平方米，折合约21.94亩）规划一类工业用地，开发周期为</w:t>
      </w:r>
      <w:r>
        <w:rPr>
          <w:rFonts w:hint="eastAsia" w:ascii="仿宋_GB2312" w:hAnsi="仿宋_GB2312" w:eastAsia="仿宋_GB2312" w:cs="仿宋_GB2312"/>
          <w:color w:val="auto"/>
          <w:spacing w:val="-6"/>
          <w:kern w:val="0"/>
          <w:sz w:val="32"/>
          <w:szCs w:val="32"/>
          <w:highlight w:val="none"/>
          <w:u w:val="none"/>
          <w:lang w:val="en-US" w:eastAsia="zh-CN"/>
        </w:rPr>
        <w:t>1.5</w:t>
      </w:r>
      <w:r>
        <w:rPr>
          <w:rFonts w:hint="eastAsia" w:ascii="仿宋_GB2312" w:hAnsi="仿宋_GB2312" w:eastAsia="仿宋_GB2312" w:cs="仿宋_GB2312"/>
          <w:color w:val="auto"/>
          <w:spacing w:val="-6"/>
          <w:kern w:val="0"/>
          <w:sz w:val="32"/>
          <w:szCs w:val="32"/>
          <w:highlight w:val="none"/>
          <w:u w:val="none"/>
        </w:rPr>
        <w:t>年，自土地交付之日起</w:t>
      </w:r>
      <w:r>
        <w:rPr>
          <w:rFonts w:hint="eastAsia" w:ascii="仿宋_GB2312" w:hAnsi="仿宋_GB2312" w:eastAsia="仿宋_GB2312" w:cs="仿宋_GB2312"/>
          <w:color w:val="auto"/>
          <w:spacing w:val="-6"/>
          <w:kern w:val="0"/>
          <w:sz w:val="32"/>
          <w:szCs w:val="32"/>
          <w:highlight w:val="none"/>
          <w:u w:val="none"/>
          <w:lang w:val="en-US" w:eastAsia="zh-CN"/>
        </w:rPr>
        <w:t>548日</w:t>
      </w:r>
      <w:r>
        <w:rPr>
          <w:rFonts w:hint="eastAsia" w:ascii="仿宋_GB2312" w:hAnsi="仿宋_GB2312" w:eastAsia="仿宋_GB2312" w:cs="仿宋_GB2312"/>
          <w:color w:val="auto"/>
          <w:spacing w:val="-6"/>
          <w:kern w:val="0"/>
          <w:sz w:val="32"/>
          <w:szCs w:val="32"/>
          <w:highlight w:val="none"/>
          <w:u w:val="none"/>
        </w:rPr>
        <w:t>内</w:t>
      </w:r>
      <w:r>
        <w:rPr>
          <w:rFonts w:hint="eastAsia" w:ascii="仿宋_GB2312" w:hAnsi="仿宋_GB2312" w:eastAsia="仿宋_GB2312" w:cs="仿宋_GB2312"/>
          <w:color w:val="auto"/>
          <w:spacing w:val="-6"/>
          <w:kern w:val="0"/>
          <w:sz w:val="32"/>
          <w:szCs w:val="32"/>
          <w:highlight w:val="none"/>
          <w:u w:val="none"/>
          <w:lang w:val="en-US" w:eastAsia="zh-CN"/>
        </w:rPr>
        <w:t>总体</w:t>
      </w:r>
      <w:r>
        <w:rPr>
          <w:rFonts w:hint="eastAsia" w:ascii="仿宋_GB2312" w:hAnsi="仿宋_GB2312" w:eastAsia="仿宋_GB2312" w:cs="仿宋_GB2312"/>
          <w:color w:val="auto"/>
          <w:spacing w:val="-6"/>
          <w:kern w:val="0"/>
          <w:sz w:val="32"/>
          <w:szCs w:val="32"/>
          <w:highlight w:val="none"/>
          <w:u w:val="none"/>
        </w:rPr>
        <w:t>竣工</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项目竣工后182日内投产，投产后730日内达产</w:t>
      </w:r>
      <w:r>
        <w:rPr>
          <w:rFonts w:hint="eastAsia" w:ascii="仿宋_GB2312" w:hAnsi="仿宋_GB2312" w:eastAsia="仿宋_GB2312" w:cs="仿宋_GB2312"/>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六、实施监管</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rPr>
        <w:t>项目供应土地按《中山市国有建设用地供应管理办法》实施监管，其中改造主体需建设竣工验收合格并向</w:t>
      </w:r>
      <w:r>
        <w:rPr>
          <w:rFonts w:hint="eastAsia" w:ascii="仿宋_GB2312" w:hAnsi="仿宋_GB2312" w:eastAsia="仿宋_GB2312" w:cs="仿宋_GB2312"/>
          <w:color w:val="auto"/>
          <w:spacing w:val="-6"/>
          <w:kern w:val="0"/>
          <w:sz w:val="32"/>
          <w:szCs w:val="32"/>
          <w:highlight w:val="none"/>
          <w:u w:val="none"/>
          <w:lang w:val="en-US" w:eastAsia="zh-CN"/>
        </w:rPr>
        <w:t>板芙镇白溪村经济联合社</w:t>
      </w:r>
      <w:r>
        <w:rPr>
          <w:rFonts w:hint="eastAsia" w:ascii="仿宋_GB2312" w:hAnsi="仿宋_GB2312" w:eastAsia="仿宋_GB2312" w:cs="仿宋_GB2312"/>
          <w:color w:val="auto"/>
          <w:spacing w:val="-6"/>
          <w:kern w:val="0"/>
          <w:sz w:val="32"/>
          <w:szCs w:val="32"/>
          <w:highlight w:val="none"/>
          <w:u w:val="none"/>
        </w:rPr>
        <w:t>无偿移交证载建筑面积不少于</w:t>
      </w:r>
      <w:r>
        <w:rPr>
          <w:rFonts w:hint="eastAsia" w:ascii="仿宋_GB2312" w:hAnsi="仿宋_GB2312" w:eastAsia="仿宋_GB2312" w:cs="仿宋_GB2312"/>
          <w:color w:val="auto"/>
          <w:spacing w:val="-6"/>
          <w:kern w:val="0"/>
          <w:sz w:val="32"/>
          <w:szCs w:val="32"/>
          <w:highlight w:val="none"/>
          <w:u w:val="none"/>
          <w:lang w:val="en-US" w:eastAsia="zh-CN"/>
        </w:rPr>
        <w:t>8000</w:t>
      </w:r>
      <w:r>
        <w:rPr>
          <w:rFonts w:hint="eastAsia" w:ascii="仿宋_GB2312" w:hAnsi="仿宋_GB2312" w:eastAsia="仿宋_GB2312" w:cs="仿宋_GB2312"/>
          <w:color w:val="auto"/>
          <w:spacing w:val="-6"/>
          <w:kern w:val="0"/>
          <w:sz w:val="32"/>
          <w:szCs w:val="32"/>
          <w:highlight w:val="none"/>
          <w:u w:val="none"/>
        </w:rPr>
        <w:t>平方米国有产权性质工业厂房和不少</w:t>
      </w:r>
      <w:bookmarkStart w:id="2" w:name="_GoBack"/>
      <w:bookmarkEnd w:id="2"/>
      <w:r>
        <w:rPr>
          <w:rFonts w:hint="eastAsia" w:ascii="仿宋_GB2312" w:hAnsi="仿宋_GB2312" w:eastAsia="仿宋_GB2312" w:cs="仿宋_GB2312"/>
          <w:color w:val="auto"/>
          <w:spacing w:val="-6"/>
          <w:kern w:val="0"/>
          <w:sz w:val="32"/>
          <w:szCs w:val="32"/>
          <w:highlight w:val="none"/>
          <w:u w:val="none"/>
        </w:rPr>
        <w:t>于</w:t>
      </w:r>
      <w:r>
        <w:rPr>
          <w:rFonts w:hint="eastAsia" w:ascii="仿宋_GB2312" w:hAnsi="仿宋_GB2312" w:eastAsia="仿宋_GB2312" w:cs="仿宋_GB2312"/>
          <w:color w:val="auto"/>
          <w:spacing w:val="-6"/>
          <w:kern w:val="0"/>
          <w:sz w:val="32"/>
          <w:szCs w:val="32"/>
          <w:highlight w:val="none"/>
          <w:u w:val="none"/>
          <w:lang w:val="en-US" w:eastAsia="zh-CN"/>
        </w:rPr>
        <w:t>16</w:t>
      </w:r>
      <w:r>
        <w:rPr>
          <w:rFonts w:hint="eastAsia" w:ascii="仿宋_GB2312" w:hAnsi="仿宋_GB2312" w:eastAsia="仿宋_GB2312" w:cs="仿宋_GB2312"/>
          <w:color w:val="auto"/>
          <w:spacing w:val="-6"/>
          <w:kern w:val="0"/>
          <w:sz w:val="32"/>
          <w:szCs w:val="32"/>
          <w:highlight w:val="none"/>
          <w:u w:val="none"/>
        </w:rPr>
        <w:t>个配套汽车车位。</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textAlignment w:val="auto"/>
        <w:rPr>
          <w:color w:val="auto"/>
          <w:highlight w:val="none"/>
          <w:u w:val="none"/>
        </w:rPr>
      </w:pPr>
    </w:p>
    <w:p>
      <w:pPr>
        <w:adjustRightInd w:val="0"/>
        <w:snapToGrid w:val="0"/>
        <w:spacing w:beforeLines="0" w:afterLines="0" w:line="574" w:lineRule="exact"/>
        <w:rPr>
          <w:color w:val="auto"/>
          <w:highlight w:val="none"/>
          <w:u w:val="none"/>
        </w:rPr>
      </w:pP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5F6"/>
    <w:multiLevelType w:val="singleLevel"/>
    <w:tmpl w:val="61CA85F6"/>
    <w:lvl w:ilvl="0" w:tentative="0">
      <w:start w:val="2"/>
      <w:numFmt w:val="chineseCounting"/>
      <w:suff w:val="nothing"/>
      <w:lvlText w:val="（%1）"/>
      <w:lvlJc w:val="left"/>
    </w:lvl>
  </w:abstractNum>
  <w:abstractNum w:abstractNumId="1">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NWUwYmFjZDY2NzUzMGYxN2U4YjZhNDBjZjI5M2QifQ=="/>
  </w:docVars>
  <w:rsids>
    <w:rsidRoot w:val="00172A27"/>
    <w:rsid w:val="04972C23"/>
    <w:rsid w:val="04AA7AB6"/>
    <w:rsid w:val="06322943"/>
    <w:rsid w:val="06DD6751"/>
    <w:rsid w:val="07843ADE"/>
    <w:rsid w:val="08E80EC0"/>
    <w:rsid w:val="09167329"/>
    <w:rsid w:val="0C3A4EEE"/>
    <w:rsid w:val="0D6C1CF8"/>
    <w:rsid w:val="0FFD548E"/>
    <w:rsid w:val="11643698"/>
    <w:rsid w:val="11A63600"/>
    <w:rsid w:val="121162D7"/>
    <w:rsid w:val="128D2824"/>
    <w:rsid w:val="12C0500B"/>
    <w:rsid w:val="12C80815"/>
    <w:rsid w:val="135B625B"/>
    <w:rsid w:val="13891D18"/>
    <w:rsid w:val="13BF038E"/>
    <w:rsid w:val="13E94729"/>
    <w:rsid w:val="15D05C79"/>
    <w:rsid w:val="164C10B5"/>
    <w:rsid w:val="17604AD5"/>
    <w:rsid w:val="17B752F6"/>
    <w:rsid w:val="197B49DF"/>
    <w:rsid w:val="1A435D37"/>
    <w:rsid w:val="1ADF35A4"/>
    <w:rsid w:val="1C48161F"/>
    <w:rsid w:val="1C5059E6"/>
    <w:rsid w:val="1CE46A3E"/>
    <w:rsid w:val="1DF26921"/>
    <w:rsid w:val="1E2E187F"/>
    <w:rsid w:val="1E7F0598"/>
    <w:rsid w:val="1FAE047E"/>
    <w:rsid w:val="202971E6"/>
    <w:rsid w:val="215E0C11"/>
    <w:rsid w:val="22590C76"/>
    <w:rsid w:val="22F30A66"/>
    <w:rsid w:val="23C1283B"/>
    <w:rsid w:val="245549AB"/>
    <w:rsid w:val="24D17FF7"/>
    <w:rsid w:val="25512E8B"/>
    <w:rsid w:val="25A97CB5"/>
    <w:rsid w:val="26D116BE"/>
    <w:rsid w:val="28767090"/>
    <w:rsid w:val="28A356AD"/>
    <w:rsid w:val="28C61469"/>
    <w:rsid w:val="2C1300E8"/>
    <w:rsid w:val="2DA61CF4"/>
    <w:rsid w:val="2DDA6A49"/>
    <w:rsid w:val="30D817BC"/>
    <w:rsid w:val="32C775BC"/>
    <w:rsid w:val="335C6052"/>
    <w:rsid w:val="343B4673"/>
    <w:rsid w:val="3729533A"/>
    <w:rsid w:val="37C115F2"/>
    <w:rsid w:val="38375FCB"/>
    <w:rsid w:val="38DF7B09"/>
    <w:rsid w:val="399845CB"/>
    <w:rsid w:val="3B1F6C0D"/>
    <w:rsid w:val="3B3336B0"/>
    <w:rsid w:val="3BB646E6"/>
    <w:rsid w:val="3C0A7E90"/>
    <w:rsid w:val="3D3D6F88"/>
    <w:rsid w:val="3D4A625F"/>
    <w:rsid w:val="3E8E1EBC"/>
    <w:rsid w:val="411F4664"/>
    <w:rsid w:val="41E95021"/>
    <w:rsid w:val="444C6D9A"/>
    <w:rsid w:val="44DE410B"/>
    <w:rsid w:val="44FD45BD"/>
    <w:rsid w:val="465A10A2"/>
    <w:rsid w:val="47012B0C"/>
    <w:rsid w:val="48577943"/>
    <w:rsid w:val="4C107C26"/>
    <w:rsid w:val="4D944BCB"/>
    <w:rsid w:val="501001D1"/>
    <w:rsid w:val="523B4F77"/>
    <w:rsid w:val="52F14201"/>
    <w:rsid w:val="548C1367"/>
    <w:rsid w:val="559D53F0"/>
    <w:rsid w:val="565122FD"/>
    <w:rsid w:val="57435DE6"/>
    <w:rsid w:val="5777740D"/>
    <w:rsid w:val="57782C90"/>
    <w:rsid w:val="57DF0CCC"/>
    <w:rsid w:val="59481887"/>
    <w:rsid w:val="5B37426B"/>
    <w:rsid w:val="5BA7046C"/>
    <w:rsid w:val="5D682024"/>
    <w:rsid w:val="5DE3292E"/>
    <w:rsid w:val="5EBE59BD"/>
    <w:rsid w:val="5EE4309A"/>
    <w:rsid w:val="60AB5EF9"/>
    <w:rsid w:val="60DB64A6"/>
    <w:rsid w:val="611171F3"/>
    <w:rsid w:val="61EF441E"/>
    <w:rsid w:val="62753F8E"/>
    <w:rsid w:val="62F54C00"/>
    <w:rsid w:val="63F11900"/>
    <w:rsid w:val="689E1934"/>
    <w:rsid w:val="68B405A5"/>
    <w:rsid w:val="693A4B04"/>
    <w:rsid w:val="69FF49F3"/>
    <w:rsid w:val="6A730F30"/>
    <w:rsid w:val="6C17379B"/>
    <w:rsid w:val="6E2241B8"/>
    <w:rsid w:val="6EA36E0C"/>
    <w:rsid w:val="6F1019EE"/>
    <w:rsid w:val="6F5D4F4A"/>
    <w:rsid w:val="702F0A1B"/>
    <w:rsid w:val="70666977"/>
    <w:rsid w:val="70CE694A"/>
    <w:rsid w:val="71CB623E"/>
    <w:rsid w:val="72534E9D"/>
    <w:rsid w:val="72BF7DD0"/>
    <w:rsid w:val="737C5F29"/>
    <w:rsid w:val="73D62E1B"/>
    <w:rsid w:val="74580766"/>
    <w:rsid w:val="74F46203"/>
    <w:rsid w:val="76B7681C"/>
    <w:rsid w:val="78AE3180"/>
    <w:rsid w:val="7DD71289"/>
    <w:rsid w:val="7E0827E7"/>
    <w:rsid w:val="7E94060F"/>
    <w:rsid w:val="7F05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0" w:afterAutospacing="0"/>
      <w:ind w:left="0" w:right="0"/>
      <w:jc w:val="center"/>
      <w:outlineLvl w:val="0"/>
    </w:pPr>
    <w:rPr>
      <w:rFonts w:hint="eastAsia" w:ascii="宋体" w:hAnsi="宋体" w:eastAsia="黑体" w:cs="宋体"/>
      <w:kern w:val="44"/>
      <w:sz w:val="36"/>
      <w:szCs w:val="15"/>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rPr>
      <w:sz w:val="44"/>
    </w:rPr>
  </w:style>
  <w:style w:type="paragraph" w:styleId="4">
    <w:name w:val="toc 5"/>
    <w:basedOn w:val="1"/>
    <w:next w:val="1"/>
    <w:unhideWhenUsed/>
    <w:qFormat/>
    <w:uiPriority w:val="39"/>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文本缩进 21"/>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2023-02-14T01:22:00Z</dcterms:created>
  <dc:creator>冯妍</dc:creator>
  <cp:lastModifiedBy>秦燕</cp:lastModifiedBy>
  <cp:lastPrinted>2024-03-14T03:41:00Z</cp:lastPrinted>
  <dcterms:modified xsi:type="dcterms:W3CDTF">2024-03-19T02:10:25Z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D98DF990398342A98C705D41C6FE19D1</vt:lpwstr>
  </property>
</Properties>
</file>