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auto"/>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val="en-US" w:eastAsia="zh-CN"/>
        </w:rPr>
        <w:t>中山火炬开发区</w:t>
      </w:r>
      <w:r>
        <w:rPr>
          <w:rFonts w:hint="eastAsia" w:ascii="方正小标宋简体" w:hAnsi="方正小标宋简体" w:eastAsia="方正小标宋简体" w:cs="方正小标宋简体"/>
          <w:color w:val="auto"/>
          <w:sz w:val="44"/>
          <w:szCs w:val="44"/>
          <w:highlight w:val="none"/>
        </w:rPr>
        <w:t>高成长企业信贷</w:t>
      </w:r>
    </w:p>
    <w:p>
      <w:pPr>
        <w:spacing w:line="336" w:lineRule="auto"/>
        <w:jc w:val="center"/>
        <w:rPr>
          <w:rFonts w:ascii="Times New Roman" w:hAnsi="Times New Roman" w:eastAsia="方正小标宋简体" w:cs="Times New Roman"/>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风险补偿金操作指引</w:t>
      </w:r>
    </w:p>
    <w:p>
      <w:pPr>
        <w:spacing w:line="312" w:lineRule="auto"/>
        <w:jc w:val="both"/>
        <w:rPr>
          <w:rFonts w:ascii="Times New Roman" w:hAnsi="Times New Roman" w:eastAsia="黑体" w:cs="Times New Roman"/>
          <w:bCs/>
          <w:color w:val="auto"/>
          <w:spacing w:val="6"/>
          <w:sz w:val="32"/>
          <w:szCs w:val="32"/>
          <w:highlight w:val="none"/>
        </w:rPr>
      </w:pPr>
    </w:p>
    <w:p>
      <w:pPr>
        <w:spacing w:line="312" w:lineRule="auto"/>
        <w:jc w:val="center"/>
        <w:rPr>
          <w:rFonts w:ascii="Times New Roman" w:hAnsi="Times New Roman" w:eastAsia="黑体" w:cs="Times New Roman"/>
          <w:bCs/>
          <w:color w:val="auto"/>
          <w:spacing w:val="6"/>
          <w:sz w:val="32"/>
          <w:szCs w:val="32"/>
          <w:highlight w:val="none"/>
        </w:rPr>
      </w:pPr>
      <w:r>
        <w:rPr>
          <w:rFonts w:ascii="Times New Roman" w:hAnsi="Times New Roman" w:eastAsia="黑体" w:cs="Times New Roman"/>
          <w:bCs/>
          <w:color w:val="auto"/>
          <w:spacing w:val="6"/>
          <w:sz w:val="32"/>
          <w:szCs w:val="32"/>
          <w:highlight w:val="none"/>
        </w:rPr>
        <w:t>第一章 总则</w:t>
      </w:r>
    </w:p>
    <w:p>
      <w:pPr>
        <w:topLinePunct/>
        <w:spacing w:line="312" w:lineRule="auto"/>
        <w:ind w:firstLine="664"/>
        <w:jc w:val="both"/>
        <w:rPr>
          <w:rFonts w:hint="eastAsia" w:ascii="Times New Roman" w:hAnsi="Times New Roman" w:eastAsia="仿宋_GB2312" w:cs="Times New Roman"/>
          <w:snapToGrid w:val="0"/>
          <w:color w:val="auto"/>
          <w:spacing w:val="6"/>
          <w:kern w:val="0"/>
          <w:sz w:val="32"/>
          <w:szCs w:val="32"/>
          <w:highlight w:val="none"/>
        </w:rPr>
      </w:pPr>
      <w:r>
        <w:rPr>
          <w:rFonts w:ascii="Times New Roman" w:hAnsi="Times New Roman" w:eastAsia="黑体" w:cs="Times New Roman"/>
          <w:bCs/>
          <w:color w:val="auto"/>
          <w:spacing w:val="6"/>
          <w:kern w:val="0"/>
          <w:sz w:val="32"/>
          <w:szCs w:val="32"/>
          <w:highlight w:val="none"/>
        </w:rPr>
        <w:t>第一条</w:t>
      </w:r>
      <w:r>
        <w:rPr>
          <w:rFonts w:ascii="Times New Roman" w:hAnsi="Times New Roman" w:eastAsia="仿宋_GB2312" w:cs="Times New Roman"/>
          <w:color w:val="auto"/>
          <w:spacing w:val="6"/>
          <w:kern w:val="0"/>
          <w:sz w:val="32"/>
          <w:szCs w:val="32"/>
          <w:highlight w:val="none"/>
        </w:rPr>
        <w:t xml:space="preserve"> </w:t>
      </w:r>
      <w:r>
        <w:rPr>
          <w:rFonts w:hint="eastAsia" w:ascii="Times New Roman" w:hAnsi="Times New Roman" w:eastAsia="仿宋_GB2312" w:cs="Times New Roman"/>
          <w:color w:val="auto"/>
          <w:spacing w:val="6"/>
          <w:kern w:val="0"/>
          <w:sz w:val="32"/>
          <w:szCs w:val="32"/>
          <w:highlight w:val="none"/>
        </w:rPr>
        <w:t>为深入贯彻落实中共中央办公厅、国务院办公厅印发的《关于加强金融服务民营企业的若干意见》、《关于促进中小企业健康发展的指导意见》精神，增强金融服务实体经济的能力，进一步缓解企业融资难融资贵融资慢问题，</w:t>
      </w:r>
      <w:r>
        <w:rPr>
          <w:rFonts w:hint="eastAsia" w:ascii="Times New Roman" w:hAnsi="Times New Roman" w:eastAsia="仿宋_GB2312" w:cs="Times New Roman"/>
          <w:color w:val="auto"/>
          <w:spacing w:val="6"/>
          <w:kern w:val="0"/>
          <w:sz w:val="32"/>
          <w:szCs w:val="32"/>
          <w:highlight w:val="none"/>
          <w:lang w:val="en-US" w:eastAsia="zh-CN"/>
        </w:rPr>
        <w:t>我区</w:t>
      </w:r>
      <w:r>
        <w:rPr>
          <w:rFonts w:hint="eastAsia" w:ascii="Times New Roman" w:hAnsi="Times New Roman" w:eastAsia="仿宋_GB2312" w:cs="Times New Roman"/>
          <w:color w:val="auto"/>
          <w:spacing w:val="6"/>
          <w:kern w:val="0"/>
          <w:sz w:val="32"/>
          <w:szCs w:val="32"/>
          <w:highlight w:val="none"/>
        </w:rPr>
        <w:t>与银行深入开展政银企合作，提升服务企业的内生动力，促进企业高质量发展，结合我区实际，制定本操作指引。</w:t>
      </w:r>
    </w:p>
    <w:p>
      <w:pPr>
        <w:pStyle w:val="16"/>
        <w:ind w:firstLine="664"/>
        <w:jc w:val="both"/>
        <w:rPr>
          <w:rFonts w:ascii="Times New Roman" w:hAnsi="Times New Roman" w:eastAsia="仿宋_GB2312" w:cs="Times New Roman"/>
          <w:color w:val="auto"/>
          <w:spacing w:val="6"/>
          <w:kern w:val="0"/>
          <w:sz w:val="32"/>
          <w:szCs w:val="32"/>
          <w:highlight w:val="none"/>
        </w:rPr>
      </w:pPr>
      <w:r>
        <w:rPr>
          <w:rFonts w:ascii="Times New Roman" w:hAnsi="Times New Roman" w:eastAsia="黑体" w:cs="Times New Roman"/>
          <w:bCs/>
          <w:snapToGrid w:val="0"/>
          <w:color w:val="auto"/>
          <w:spacing w:val="6"/>
          <w:kern w:val="0"/>
          <w:sz w:val="32"/>
          <w:szCs w:val="32"/>
          <w:highlight w:val="none"/>
        </w:rPr>
        <w:t xml:space="preserve">第二条 </w:t>
      </w:r>
      <w:r>
        <w:rPr>
          <w:rFonts w:hint="eastAsia" w:ascii="仿宋_GB2312" w:eastAsia="仿宋_GB2312"/>
          <w:color w:val="auto"/>
          <w:sz w:val="32"/>
          <w:szCs w:val="32"/>
          <w:highlight w:val="none"/>
        </w:rPr>
        <w:t>设立高成长企业信贷风险补偿资金池（下称：资金池），首</w:t>
      </w:r>
      <w:r>
        <w:rPr>
          <w:rFonts w:ascii="Times New Roman" w:hAnsi="Times New Roman" w:eastAsia="仿宋_GB2312" w:cs="Times New Roman"/>
          <w:color w:val="auto"/>
          <w:sz w:val="32"/>
          <w:szCs w:val="32"/>
          <w:highlight w:val="none"/>
        </w:rPr>
        <w:t>期</w:t>
      </w:r>
      <w:r>
        <w:rPr>
          <w:rFonts w:hint="eastAsia" w:ascii="Times New Roman" w:hAnsi="Times New Roman" w:eastAsia="仿宋_GB2312" w:cs="Times New Roman"/>
          <w:color w:val="auto"/>
          <w:sz w:val="32"/>
          <w:szCs w:val="32"/>
          <w:highlight w:val="none"/>
        </w:rPr>
        <w:t>10</w:t>
      </w:r>
      <w:r>
        <w:rPr>
          <w:rFonts w:ascii="Times New Roman" w:hAnsi="Times New Roman" w:eastAsia="仿宋_GB2312" w:cs="Times New Roman"/>
          <w:color w:val="auto"/>
          <w:sz w:val="32"/>
          <w:szCs w:val="32"/>
          <w:highlight w:val="none"/>
        </w:rPr>
        <w:t>000万元，其中专业资本特色载体专项资金安排</w:t>
      </w:r>
      <w:r>
        <w:rPr>
          <w:rFonts w:hint="eastAsia" w:ascii="Times New Roman" w:hAnsi="Times New Roman" w:eastAsia="仿宋_GB2312" w:cs="Times New Roman"/>
          <w:color w:val="auto"/>
          <w:sz w:val="32"/>
          <w:szCs w:val="32"/>
          <w:highlight w:val="none"/>
          <w:lang w:val="en-US" w:eastAsia="zh-CN"/>
        </w:rPr>
        <w:t>3</w:t>
      </w:r>
      <w:r>
        <w:rPr>
          <w:rFonts w:ascii="Times New Roman" w:hAnsi="Times New Roman" w:eastAsia="仿宋_GB2312" w:cs="Times New Roman"/>
          <w:color w:val="auto"/>
          <w:sz w:val="32"/>
          <w:szCs w:val="32"/>
          <w:highlight w:val="none"/>
        </w:rPr>
        <w:t>000万元，火炬区</w:t>
      </w:r>
      <w:r>
        <w:rPr>
          <w:rFonts w:hint="eastAsia" w:ascii="Times New Roman" w:hAnsi="Times New Roman" w:eastAsia="仿宋_GB2312" w:cs="Times New Roman"/>
          <w:color w:val="auto"/>
          <w:sz w:val="32"/>
          <w:szCs w:val="32"/>
          <w:highlight w:val="none"/>
          <w:lang w:val="en-US" w:eastAsia="zh-CN"/>
        </w:rPr>
        <w:t>财政</w:t>
      </w:r>
      <w:r>
        <w:rPr>
          <w:rFonts w:ascii="Times New Roman" w:hAnsi="Times New Roman" w:eastAsia="仿宋_GB2312" w:cs="Times New Roman"/>
          <w:color w:val="auto"/>
          <w:sz w:val="32"/>
          <w:szCs w:val="32"/>
          <w:highlight w:val="none"/>
        </w:rPr>
        <w:t>出资</w:t>
      </w:r>
      <w:r>
        <w:rPr>
          <w:rFonts w:hint="eastAsia" w:ascii="Times New Roman" w:hAnsi="Times New Roman" w:eastAsia="仿宋_GB2312" w:cs="Times New Roman"/>
          <w:color w:val="auto"/>
          <w:sz w:val="32"/>
          <w:szCs w:val="32"/>
          <w:highlight w:val="none"/>
          <w:lang w:val="en-US" w:eastAsia="zh-CN"/>
        </w:rPr>
        <w:t>7</w:t>
      </w:r>
      <w:r>
        <w:rPr>
          <w:rFonts w:ascii="Times New Roman" w:hAnsi="Times New Roman" w:eastAsia="仿宋_GB2312" w:cs="Times New Roman"/>
          <w:color w:val="auto"/>
          <w:sz w:val="32"/>
          <w:szCs w:val="32"/>
          <w:highlight w:val="none"/>
        </w:rPr>
        <w:t>000万元</w:t>
      </w:r>
      <w:r>
        <w:rPr>
          <w:rFonts w:hint="eastAsia" w:ascii="仿宋_GB2312" w:eastAsia="仿宋_GB2312"/>
          <w:color w:val="auto"/>
          <w:sz w:val="32"/>
          <w:szCs w:val="32"/>
          <w:highlight w:val="none"/>
        </w:rPr>
        <w:t>。</w:t>
      </w:r>
      <w:r>
        <w:rPr>
          <w:rFonts w:hint="eastAsia" w:ascii="Times New Roman" w:hAnsi="Times New Roman" w:eastAsia="仿宋_GB2312" w:cs="Times New Roman"/>
          <w:color w:val="auto"/>
          <w:spacing w:val="6"/>
          <w:kern w:val="0"/>
          <w:sz w:val="32"/>
          <w:szCs w:val="32"/>
          <w:highlight w:val="none"/>
        </w:rPr>
        <w:t>视业务运作情况或上级要求，资金池可增加规模。</w:t>
      </w:r>
    </w:p>
    <w:p>
      <w:pPr>
        <w:pStyle w:val="16"/>
        <w:ind w:firstLine="688" w:firstLineChars="0"/>
        <w:jc w:val="both"/>
        <w:rPr>
          <w:rFonts w:ascii="Times New Roman" w:hAnsi="Times New Roman" w:eastAsia="仿宋_GB2312" w:cs="Times New Roman"/>
          <w:color w:val="auto"/>
          <w:spacing w:val="6"/>
          <w:kern w:val="0"/>
          <w:sz w:val="32"/>
          <w:szCs w:val="32"/>
          <w:highlight w:val="none"/>
        </w:rPr>
      </w:pPr>
      <w:r>
        <w:rPr>
          <w:rFonts w:hint="eastAsia" w:ascii="Times New Roman" w:hAnsi="Times New Roman" w:eastAsia="仿宋_GB2312" w:cs="Times New Roman"/>
          <w:color w:val="auto"/>
          <w:spacing w:val="6"/>
          <w:kern w:val="0"/>
          <w:sz w:val="32"/>
          <w:szCs w:val="32"/>
          <w:highlight w:val="none"/>
        </w:rPr>
        <w:t>每年从区</w:t>
      </w:r>
      <w:r>
        <w:rPr>
          <w:rFonts w:hint="eastAsia" w:ascii="Times New Roman" w:hAnsi="Times New Roman" w:eastAsia="仿宋_GB2312" w:cs="Times New Roman"/>
          <w:color w:val="auto"/>
          <w:spacing w:val="6"/>
          <w:kern w:val="0"/>
          <w:sz w:val="32"/>
          <w:szCs w:val="32"/>
          <w:highlight w:val="none"/>
          <w:lang w:val="en-US" w:eastAsia="zh-CN"/>
        </w:rPr>
        <w:t>财政</w:t>
      </w:r>
      <w:r>
        <w:rPr>
          <w:rFonts w:hint="eastAsia" w:ascii="Times New Roman" w:hAnsi="Times New Roman" w:eastAsia="仿宋_GB2312" w:cs="Times New Roman"/>
          <w:color w:val="auto"/>
          <w:spacing w:val="6"/>
          <w:kern w:val="0"/>
          <w:sz w:val="32"/>
          <w:szCs w:val="32"/>
          <w:highlight w:val="none"/>
        </w:rPr>
        <w:t>专项资金中列支</w:t>
      </w:r>
      <w:r>
        <w:rPr>
          <w:rFonts w:hint="eastAsia" w:ascii="Times New Roman" w:hAnsi="Times New Roman" w:eastAsia="仿宋_GB2312" w:cs="Times New Roman"/>
          <w:color w:val="auto"/>
          <w:spacing w:val="6"/>
          <w:kern w:val="0"/>
          <w:sz w:val="32"/>
          <w:szCs w:val="32"/>
          <w:highlight w:val="none"/>
          <w:lang w:val="en-US" w:eastAsia="zh-CN"/>
        </w:rPr>
        <w:t>2</w:t>
      </w:r>
      <w:r>
        <w:rPr>
          <w:rFonts w:hint="eastAsia" w:ascii="Times New Roman" w:hAnsi="Times New Roman" w:eastAsia="仿宋_GB2312" w:cs="Times New Roman"/>
          <w:color w:val="auto"/>
          <w:spacing w:val="6"/>
          <w:kern w:val="0"/>
          <w:sz w:val="32"/>
          <w:szCs w:val="32"/>
          <w:highlight w:val="none"/>
        </w:rPr>
        <w:t>000万元经费用于</w:t>
      </w:r>
      <w:r>
        <w:rPr>
          <w:rFonts w:hint="eastAsia" w:ascii="Times New Roman" w:hAnsi="Times New Roman" w:eastAsia="仿宋_GB2312" w:cs="Times New Roman"/>
          <w:color w:val="auto"/>
          <w:spacing w:val="6"/>
          <w:kern w:val="0"/>
          <w:sz w:val="32"/>
          <w:szCs w:val="32"/>
          <w:highlight w:val="none"/>
          <w:lang w:val="en-US" w:eastAsia="zh-CN"/>
        </w:rPr>
        <w:t>对从</w:t>
      </w:r>
      <w:r>
        <w:rPr>
          <w:rFonts w:hint="eastAsia" w:ascii="Times New Roman" w:hAnsi="Times New Roman" w:eastAsia="仿宋_GB2312" w:cs="Times New Roman"/>
          <w:color w:val="auto"/>
          <w:spacing w:val="6"/>
          <w:kern w:val="0"/>
          <w:sz w:val="32"/>
          <w:szCs w:val="32"/>
          <w:highlight w:val="none"/>
        </w:rPr>
        <w:t>本</w:t>
      </w:r>
      <w:r>
        <w:rPr>
          <w:rFonts w:hint="eastAsia" w:ascii="Times New Roman" w:hAnsi="Times New Roman" w:eastAsia="仿宋_GB2312" w:cs="Times New Roman"/>
          <w:color w:val="auto"/>
          <w:spacing w:val="6"/>
          <w:kern w:val="0"/>
          <w:sz w:val="32"/>
          <w:szCs w:val="32"/>
          <w:highlight w:val="none"/>
          <w:lang w:val="en-US" w:eastAsia="zh-CN"/>
        </w:rPr>
        <w:t>操作指引</w:t>
      </w:r>
      <w:r>
        <w:rPr>
          <w:rFonts w:hint="eastAsia" w:ascii="Times New Roman" w:hAnsi="Times New Roman" w:eastAsia="仿宋_GB2312" w:cs="Times New Roman"/>
          <w:color w:val="auto"/>
          <w:spacing w:val="6"/>
          <w:kern w:val="0"/>
          <w:sz w:val="32"/>
          <w:szCs w:val="32"/>
          <w:highlight w:val="none"/>
        </w:rPr>
        <w:t>中获得贷款且符合条件的企业进行贴息。</w:t>
      </w:r>
    </w:p>
    <w:p>
      <w:pPr>
        <w:numPr>
          <w:ilvl w:val="0"/>
          <w:numId w:val="0"/>
        </w:numPr>
        <w:topLinePunct/>
        <w:spacing w:line="312" w:lineRule="auto"/>
        <w:ind w:firstLine="664" w:firstLineChars="200"/>
        <w:jc w:val="both"/>
        <w:rPr>
          <w:rFonts w:hint="eastAsia" w:ascii="Times New Roman" w:hAnsi="Times New Roman" w:eastAsia="仿宋_GB2312" w:cs="Times New Roman"/>
          <w:snapToGrid w:val="0"/>
          <w:color w:val="auto"/>
          <w:spacing w:val="6"/>
          <w:kern w:val="0"/>
          <w:sz w:val="32"/>
          <w:szCs w:val="32"/>
          <w:highlight w:val="none"/>
        </w:rPr>
      </w:pPr>
      <w:r>
        <w:rPr>
          <w:rFonts w:ascii="Times New Roman" w:hAnsi="Times New Roman" w:eastAsia="黑体" w:cs="Times New Roman"/>
          <w:bCs/>
          <w:snapToGrid w:val="0"/>
          <w:color w:val="auto"/>
          <w:spacing w:val="6"/>
          <w:kern w:val="0"/>
          <w:sz w:val="32"/>
          <w:szCs w:val="32"/>
          <w:highlight w:val="none"/>
        </w:rPr>
        <w:t>第</w:t>
      </w:r>
      <w:r>
        <w:rPr>
          <w:rFonts w:hint="eastAsia" w:ascii="Times New Roman" w:hAnsi="Times New Roman" w:eastAsia="黑体" w:cs="Times New Roman"/>
          <w:bCs/>
          <w:snapToGrid w:val="0"/>
          <w:color w:val="auto"/>
          <w:spacing w:val="6"/>
          <w:kern w:val="0"/>
          <w:sz w:val="32"/>
          <w:szCs w:val="32"/>
          <w:highlight w:val="none"/>
          <w:lang w:val="en-US" w:eastAsia="zh-CN"/>
        </w:rPr>
        <w:t>三</w:t>
      </w:r>
      <w:r>
        <w:rPr>
          <w:rFonts w:ascii="Times New Roman" w:hAnsi="Times New Roman" w:eastAsia="黑体" w:cs="Times New Roman"/>
          <w:bCs/>
          <w:snapToGrid w:val="0"/>
          <w:color w:val="auto"/>
          <w:spacing w:val="6"/>
          <w:kern w:val="0"/>
          <w:sz w:val="32"/>
          <w:szCs w:val="32"/>
          <w:highlight w:val="none"/>
        </w:rPr>
        <w:t>条</w:t>
      </w:r>
      <w:r>
        <w:rPr>
          <w:rFonts w:hint="eastAsia" w:ascii="Times New Roman" w:hAnsi="Times New Roman" w:eastAsia="黑体" w:cs="Times New Roman"/>
          <w:bCs/>
          <w:snapToGrid w:val="0"/>
          <w:color w:val="auto"/>
          <w:spacing w:val="6"/>
          <w:kern w:val="0"/>
          <w:sz w:val="32"/>
          <w:szCs w:val="32"/>
          <w:highlight w:val="none"/>
          <w:lang w:val="en-US" w:eastAsia="zh-CN"/>
        </w:rPr>
        <w:t xml:space="preserve"> </w:t>
      </w:r>
      <w:r>
        <w:rPr>
          <w:rFonts w:hint="eastAsia" w:ascii="Times New Roman" w:hAnsi="Times New Roman" w:eastAsia="仿宋_GB2312" w:cs="Times New Roman"/>
          <w:snapToGrid w:val="0"/>
          <w:color w:val="auto"/>
          <w:spacing w:val="6"/>
          <w:kern w:val="0"/>
          <w:sz w:val="32"/>
          <w:szCs w:val="32"/>
          <w:highlight w:val="none"/>
        </w:rPr>
        <w:t>合作银行为区内登记注册的银行。</w:t>
      </w:r>
    </w:p>
    <w:p>
      <w:pPr>
        <w:numPr>
          <w:ilvl w:val="0"/>
          <w:numId w:val="0"/>
        </w:numPr>
        <w:topLinePunct/>
        <w:spacing w:line="312" w:lineRule="auto"/>
        <w:ind w:firstLine="664" w:firstLineChars="200"/>
        <w:jc w:val="both"/>
        <w:rPr>
          <w:rFonts w:ascii="Times New Roman" w:hAnsi="Times New Roman" w:eastAsia="仿宋_GB2312" w:cs="Times New Roman"/>
          <w:snapToGrid w:val="0"/>
          <w:color w:val="auto"/>
          <w:spacing w:val="6"/>
          <w:kern w:val="0"/>
          <w:sz w:val="32"/>
          <w:szCs w:val="32"/>
          <w:highlight w:val="none"/>
        </w:rPr>
      </w:pPr>
      <w:r>
        <w:rPr>
          <w:rFonts w:ascii="Times New Roman" w:hAnsi="Times New Roman" w:eastAsia="黑体" w:cs="Times New Roman"/>
          <w:bCs/>
          <w:snapToGrid w:val="0"/>
          <w:color w:val="auto"/>
          <w:spacing w:val="6"/>
          <w:kern w:val="0"/>
          <w:sz w:val="32"/>
          <w:szCs w:val="32"/>
          <w:highlight w:val="none"/>
        </w:rPr>
        <w:t>第</w:t>
      </w:r>
      <w:r>
        <w:rPr>
          <w:rFonts w:hint="eastAsia" w:ascii="Times New Roman" w:hAnsi="Times New Roman" w:eastAsia="黑体" w:cs="Times New Roman"/>
          <w:bCs/>
          <w:snapToGrid w:val="0"/>
          <w:color w:val="auto"/>
          <w:spacing w:val="6"/>
          <w:kern w:val="0"/>
          <w:sz w:val="32"/>
          <w:szCs w:val="32"/>
          <w:highlight w:val="none"/>
        </w:rPr>
        <w:t>四</w:t>
      </w:r>
      <w:r>
        <w:rPr>
          <w:rFonts w:ascii="Times New Roman" w:hAnsi="Times New Roman" w:eastAsia="黑体" w:cs="Times New Roman"/>
          <w:bCs/>
          <w:snapToGrid w:val="0"/>
          <w:color w:val="auto"/>
          <w:spacing w:val="6"/>
          <w:kern w:val="0"/>
          <w:sz w:val="32"/>
          <w:szCs w:val="32"/>
          <w:highlight w:val="none"/>
        </w:rPr>
        <w:t xml:space="preserve">条 </w:t>
      </w:r>
      <w:r>
        <w:rPr>
          <w:rFonts w:hint="eastAsia" w:ascii="Times New Roman" w:hAnsi="Times New Roman" w:eastAsia="仿宋_GB2312" w:cs="Times New Roman"/>
          <w:snapToGrid w:val="0"/>
          <w:color w:val="auto"/>
          <w:spacing w:val="6"/>
          <w:kern w:val="0"/>
          <w:sz w:val="32"/>
          <w:szCs w:val="32"/>
          <w:highlight w:val="none"/>
        </w:rPr>
        <w:t>本操作指引所称</w:t>
      </w:r>
      <w:r>
        <w:rPr>
          <w:rFonts w:hint="eastAsia" w:ascii="仿宋_GB2312" w:eastAsia="仿宋_GB2312"/>
          <w:color w:val="auto"/>
          <w:sz w:val="32"/>
          <w:szCs w:val="32"/>
          <w:highlight w:val="none"/>
        </w:rPr>
        <w:t>高成长企业信贷风险补偿金信贷</w:t>
      </w:r>
      <w:r>
        <w:rPr>
          <w:rFonts w:hint="eastAsia" w:ascii="Times New Roman" w:hAnsi="Times New Roman" w:eastAsia="仿宋_GB2312" w:cs="Times New Roman"/>
          <w:snapToGrid w:val="0"/>
          <w:color w:val="auto"/>
          <w:spacing w:val="6"/>
          <w:kern w:val="0"/>
          <w:sz w:val="32"/>
          <w:szCs w:val="32"/>
          <w:highlight w:val="none"/>
        </w:rPr>
        <w:t>业务（下称：信贷业务）模式是指合作银行向</w:t>
      </w:r>
      <w:r>
        <w:rPr>
          <w:rFonts w:hint="eastAsia" w:ascii="Times New Roman" w:hAnsi="Times New Roman" w:eastAsia="仿宋_GB2312" w:cs="Times New Roman"/>
          <w:color w:val="auto"/>
          <w:spacing w:val="6"/>
          <w:kern w:val="0"/>
          <w:sz w:val="32"/>
          <w:szCs w:val="32"/>
          <w:highlight w:val="none"/>
        </w:rPr>
        <w:t>纳入我区高成长企业培育库的企业（下称</w:t>
      </w:r>
      <w:r>
        <w:rPr>
          <w:rFonts w:hint="eastAsia" w:ascii="Times New Roman" w:hAnsi="Times New Roman" w:eastAsia="仿宋_GB2312" w:cs="Times New Roman"/>
          <w:color w:val="auto"/>
          <w:spacing w:val="6"/>
          <w:kern w:val="0"/>
          <w:sz w:val="32"/>
          <w:szCs w:val="32"/>
          <w:highlight w:val="none"/>
          <w:lang w:eastAsia="zh-CN"/>
        </w:rPr>
        <w:t>：</w:t>
      </w:r>
      <w:r>
        <w:rPr>
          <w:rFonts w:hint="eastAsia" w:ascii="Times New Roman" w:hAnsi="Times New Roman" w:eastAsia="仿宋_GB2312" w:cs="Times New Roman"/>
          <w:color w:val="auto"/>
          <w:spacing w:val="6"/>
          <w:kern w:val="0"/>
          <w:sz w:val="32"/>
          <w:szCs w:val="32"/>
          <w:highlight w:val="none"/>
        </w:rPr>
        <w:t>《培育库》）</w:t>
      </w:r>
      <w:r>
        <w:rPr>
          <w:rFonts w:hint="eastAsia" w:ascii="Times New Roman" w:hAnsi="Times New Roman" w:eastAsia="仿宋_GB2312" w:cs="Times New Roman"/>
          <w:snapToGrid w:val="0"/>
          <w:color w:val="auto"/>
          <w:spacing w:val="6"/>
          <w:kern w:val="0"/>
          <w:sz w:val="32"/>
          <w:szCs w:val="32"/>
          <w:highlight w:val="none"/>
        </w:rPr>
        <w:t>发放的由资金池担保金作为增信手段的贷款业务，并以担保金对银行所产生的损失进行一定风险补偿。</w:t>
      </w:r>
    </w:p>
    <w:p>
      <w:pPr>
        <w:topLinePunct/>
        <w:spacing w:line="312" w:lineRule="auto"/>
        <w:jc w:val="both"/>
        <w:rPr>
          <w:rFonts w:ascii="Times New Roman" w:hAnsi="Times New Roman" w:eastAsia="仿宋_GB2312" w:cs="Times New Roman"/>
          <w:snapToGrid w:val="0"/>
          <w:color w:val="auto"/>
          <w:spacing w:val="6"/>
          <w:kern w:val="0"/>
          <w:sz w:val="32"/>
          <w:szCs w:val="32"/>
          <w:highlight w:val="none"/>
        </w:rPr>
      </w:pPr>
    </w:p>
    <w:p>
      <w:pPr>
        <w:spacing w:line="312" w:lineRule="auto"/>
        <w:jc w:val="center"/>
        <w:rPr>
          <w:rFonts w:ascii="Times New Roman" w:hAnsi="Times New Roman" w:eastAsia="黑体" w:cs="Times New Roman"/>
          <w:bCs/>
          <w:color w:val="auto"/>
          <w:spacing w:val="6"/>
          <w:sz w:val="32"/>
          <w:szCs w:val="32"/>
          <w:highlight w:val="none"/>
        </w:rPr>
      </w:pPr>
      <w:r>
        <w:rPr>
          <w:rFonts w:hint="eastAsia" w:ascii="Times New Roman" w:hAnsi="Times New Roman" w:eastAsia="黑体" w:cs="Times New Roman"/>
          <w:bCs/>
          <w:color w:val="auto"/>
          <w:spacing w:val="6"/>
          <w:sz w:val="32"/>
          <w:szCs w:val="32"/>
          <w:highlight w:val="none"/>
        </w:rPr>
        <w:t>第二章 扶持对象与方式</w:t>
      </w:r>
    </w:p>
    <w:p>
      <w:pPr>
        <w:spacing w:line="312" w:lineRule="auto"/>
        <w:ind w:firstLine="664"/>
        <w:jc w:val="both"/>
        <w:rPr>
          <w:rFonts w:ascii="Times New Roman" w:hAnsi="Times New Roman" w:eastAsia="仿宋_GB2312" w:cs="Times New Roman"/>
          <w:snapToGrid w:val="0"/>
          <w:color w:val="auto"/>
          <w:spacing w:val="6"/>
          <w:kern w:val="0"/>
          <w:sz w:val="32"/>
          <w:szCs w:val="32"/>
          <w:highlight w:val="none"/>
        </w:rPr>
      </w:pPr>
      <w:r>
        <w:rPr>
          <w:rFonts w:ascii="Times New Roman" w:hAnsi="Times New Roman" w:eastAsia="黑体" w:cs="Times New Roman"/>
          <w:color w:val="auto"/>
          <w:spacing w:val="6"/>
          <w:kern w:val="0"/>
          <w:sz w:val="32"/>
          <w:szCs w:val="32"/>
          <w:highlight w:val="none"/>
        </w:rPr>
        <w:t>第</w:t>
      </w:r>
      <w:r>
        <w:rPr>
          <w:rFonts w:hint="eastAsia" w:ascii="Times New Roman" w:hAnsi="Times New Roman" w:eastAsia="黑体" w:cs="Times New Roman"/>
          <w:color w:val="auto"/>
          <w:spacing w:val="6"/>
          <w:kern w:val="0"/>
          <w:sz w:val="32"/>
          <w:szCs w:val="32"/>
          <w:highlight w:val="none"/>
        </w:rPr>
        <w:t>五</w:t>
      </w:r>
      <w:r>
        <w:rPr>
          <w:rFonts w:ascii="Times New Roman" w:hAnsi="Times New Roman" w:eastAsia="黑体" w:cs="Times New Roman"/>
          <w:color w:val="auto"/>
          <w:spacing w:val="6"/>
          <w:kern w:val="0"/>
          <w:sz w:val="32"/>
          <w:szCs w:val="32"/>
          <w:highlight w:val="none"/>
        </w:rPr>
        <w:t>条</w:t>
      </w:r>
      <w:r>
        <w:rPr>
          <w:rFonts w:ascii="Times New Roman" w:hAnsi="Times New Roman" w:eastAsia="黑体" w:cs="Times New Roman"/>
          <w:bCs/>
          <w:snapToGrid w:val="0"/>
          <w:color w:val="auto"/>
          <w:spacing w:val="6"/>
          <w:kern w:val="0"/>
          <w:sz w:val="32"/>
          <w:szCs w:val="32"/>
          <w:highlight w:val="none"/>
        </w:rPr>
        <w:t xml:space="preserve"> </w:t>
      </w:r>
      <w:r>
        <w:rPr>
          <w:rFonts w:hint="eastAsia" w:ascii="Times New Roman" w:hAnsi="Times New Roman" w:eastAsia="仿宋_GB2312" w:cs="Times New Roman"/>
          <w:color w:val="auto"/>
          <w:spacing w:val="6"/>
          <w:kern w:val="0"/>
          <w:sz w:val="32"/>
          <w:szCs w:val="32"/>
          <w:highlight w:val="none"/>
        </w:rPr>
        <w:t>扶持对象是纳入我区《培育库》内的企业。</w:t>
      </w:r>
      <w:r>
        <w:rPr>
          <w:rFonts w:hint="eastAsia" w:ascii="Times New Roman" w:hAnsi="Times New Roman" w:eastAsia="仿宋_GB2312" w:cs="Times New Roman"/>
          <w:snapToGrid w:val="0"/>
          <w:color w:val="auto"/>
          <w:spacing w:val="6"/>
          <w:kern w:val="0"/>
          <w:sz w:val="32"/>
          <w:szCs w:val="32"/>
          <w:highlight w:val="none"/>
        </w:rPr>
        <w:t>入库条件如下：</w:t>
      </w:r>
    </w:p>
    <w:p>
      <w:pPr>
        <w:spacing w:line="312" w:lineRule="auto"/>
        <w:ind w:firstLine="664"/>
        <w:jc w:val="both"/>
        <w:rPr>
          <w:rFonts w:hint="eastAsia" w:ascii="Times New Roman" w:hAnsi="Times New Roman" w:eastAsia="仿宋_GB2312" w:cs="Times New Roman"/>
          <w:color w:val="auto"/>
          <w:spacing w:val="6"/>
          <w:kern w:val="0"/>
          <w:sz w:val="32"/>
          <w:szCs w:val="32"/>
          <w:highlight w:val="none"/>
          <w:lang w:eastAsia="zh-CN"/>
        </w:rPr>
      </w:pPr>
      <w:r>
        <w:rPr>
          <w:rFonts w:hint="eastAsia" w:ascii="Times New Roman" w:hAnsi="Times New Roman" w:eastAsia="仿宋_GB2312" w:cs="Times New Roman"/>
          <w:snapToGrid w:val="0"/>
          <w:color w:val="auto"/>
          <w:spacing w:val="6"/>
          <w:kern w:val="0"/>
          <w:sz w:val="32"/>
          <w:szCs w:val="32"/>
          <w:highlight w:val="none"/>
        </w:rPr>
        <w:t>（一）在</w:t>
      </w:r>
      <w:r>
        <w:rPr>
          <w:rFonts w:hint="eastAsia" w:ascii="Times New Roman" w:hAnsi="Times New Roman" w:eastAsia="仿宋_GB2312" w:cs="Times New Roman"/>
          <w:snapToGrid w:val="0"/>
          <w:color w:val="auto"/>
          <w:spacing w:val="6"/>
          <w:kern w:val="0"/>
          <w:sz w:val="32"/>
          <w:szCs w:val="32"/>
          <w:highlight w:val="none"/>
          <w:lang w:val="en-US" w:eastAsia="zh-CN"/>
        </w:rPr>
        <w:t>我</w:t>
      </w:r>
      <w:r>
        <w:rPr>
          <w:rFonts w:hint="eastAsia" w:ascii="Times New Roman" w:hAnsi="Times New Roman" w:eastAsia="仿宋_GB2312" w:cs="Times New Roman"/>
          <w:color w:val="auto"/>
          <w:spacing w:val="6"/>
          <w:kern w:val="0"/>
          <w:sz w:val="32"/>
          <w:szCs w:val="32"/>
          <w:highlight w:val="none"/>
        </w:rPr>
        <w:t>区注册的规模以上</w:t>
      </w:r>
      <w:r>
        <w:rPr>
          <w:rFonts w:hint="eastAsia" w:ascii="Times New Roman" w:hAnsi="Times New Roman" w:eastAsia="仿宋_GB2312" w:cs="Times New Roman"/>
          <w:color w:val="auto"/>
          <w:spacing w:val="6"/>
          <w:kern w:val="0"/>
          <w:sz w:val="32"/>
          <w:szCs w:val="32"/>
          <w:highlight w:val="none"/>
          <w:lang w:val="en-US" w:eastAsia="zh-CN"/>
        </w:rPr>
        <w:t>10亿元以下的工业</w:t>
      </w:r>
      <w:r>
        <w:rPr>
          <w:rFonts w:hint="eastAsia" w:ascii="Times New Roman" w:hAnsi="Times New Roman" w:eastAsia="仿宋_GB2312" w:cs="Times New Roman"/>
          <w:color w:val="auto"/>
          <w:spacing w:val="6"/>
          <w:kern w:val="0"/>
          <w:sz w:val="32"/>
          <w:szCs w:val="32"/>
          <w:highlight w:val="none"/>
        </w:rPr>
        <w:t>企业</w:t>
      </w:r>
      <w:r>
        <w:rPr>
          <w:rFonts w:hint="eastAsia" w:ascii="Times New Roman" w:hAnsi="Times New Roman" w:eastAsia="仿宋_GB2312" w:cs="Times New Roman"/>
          <w:color w:val="auto"/>
          <w:spacing w:val="6"/>
          <w:kern w:val="0"/>
          <w:sz w:val="32"/>
          <w:szCs w:val="32"/>
          <w:highlight w:val="none"/>
          <w:lang w:val="en-US" w:eastAsia="zh-CN"/>
        </w:rPr>
        <w:t>和规模5000万元以上10亿元以下的服务业企业</w:t>
      </w:r>
      <w:r>
        <w:rPr>
          <w:rFonts w:hint="eastAsia" w:ascii="Times New Roman" w:hAnsi="Times New Roman" w:eastAsia="仿宋_GB2312" w:cs="Times New Roman"/>
          <w:color w:val="auto"/>
          <w:spacing w:val="6"/>
          <w:kern w:val="0"/>
          <w:sz w:val="32"/>
          <w:szCs w:val="32"/>
          <w:highlight w:val="none"/>
        </w:rPr>
        <w:t>（不包括境内外已上市企业主体</w:t>
      </w:r>
      <w:r>
        <w:rPr>
          <w:rFonts w:hint="eastAsia" w:ascii="Times New Roman" w:hAnsi="Times New Roman" w:eastAsia="仿宋_GB2312" w:cs="Times New Roman"/>
          <w:color w:val="auto"/>
          <w:spacing w:val="6"/>
          <w:kern w:val="0"/>
          <w:sz w:val="32"/>
          <w:szCs w:val="32"/>
          <w:highlight w:val="none"/>
          <w:lang w:val="en-US" w:eastAsia="zh-CN"/>
        </w:rPr>
        <w:t>和房地产企业</w:t>
      </w:r>
      <w:r>
        <w:rPr>
          <w:rFonts w:hint="eastAsia" w:ascii="Times New Roman" w:hAnsi="Times New Roman" w:eastAsia="仿宋_GB2312" w:cs="Times New Roman"/>
          <w:color w:val="auto"/>
          <w:spacing w:val="6"/>
          <w:kern w:val="0"/>
          <w:sz w:val="32"/>
          <w:szCs w:val="32"/>
          <w:highlight w:val="none"/>
        </w:rPr>
        <w:t>）</w:t>
      </w:r>
      <w:r>
        <w:rPr>
          <w:rFonts w:hint="eastAsia" w:ascii="Times New Roman" w:hAnsi="Times New Roman" w:eastAsia="仿宋_GB2312" w:cs="Times New Roman"/>
          <w:color w:val="auto"/>
          <w:spacing w:val="6"/>
          <w:kern w:val="0"/>
          <w:sz w:val="32"/>
          <w:szCs w:val="32"/>
          <w:highlight w:val="none"/>
          <w:lang w:eastAsia="zh-CN"/>
        </w:rPr>
        <w:t>。</w:t>
      </w:r>
    </w:p>
    <w:p>
      <w:pPr>
        <w:pStyle w:val="19"/>
        <w:ind w:firstLine="688" w:firstLineChars="0"/>
        <w:jc w:val="both"/>
        <w:rPr>
          <w:rFonts w:ascii="Times New Roman" w:hAnsi="Times New Roman" w:eastAsia="仿宋_GB2312"/>
          <w:color w:val="auto"/>
          <w:spacing w:val="6"/>
          <w:kern w:val="0"/>
          <w:sz w:val="32"/>
          <w:szCs w:val="32"/>
          <w:highlight w:val="none"/>
        </w:rPr>
      </w:pPr>
      <w:r>
        <w:rPr>
          <w:rFonts w:hint="eastAsia" w:eastAsia="仿宋_GB2312"/>
          <w:color w:val="auto"/>
          <w:kern w:val="0"/>
          <w:sz w:val="32"/>
          <w:szCs w:val="32"/>
          <w:highlight w:val="none"/>
        </w:rPr>
        <w:t>（</w:t>
      </w:r>
      <w:r>
        <w:rPr>
          <w:rFonts w:hint="eastAsia" w:eastAsia="仿宋_GB2312"/>
          <w:color w:val="auto"/>
          <w:kern w:val="0"/>
          <w:sz w:val="32"/>
          <w:szCs w:val="32"/>
          <w:highlight w:val="none"/>
          <w:lang w:val="en-US" w:eastAsia="zh-CN"/>
        </w:rPr>
        <w:t>二</w:t>
      </w:r>
      <w:r>
        <w:rPr>
          <w:rFonts w:hint="eastAsia" w:eastAsia="仿宋_GB2312"/>
          <w:color w:val="auto"/>
          <w:kern w:val="0"/>
          <w:sz w:val="32"/>
          <w:szCs w:val="32"/>
          <w:highlight w:val="none"/>
        </w:rPr>
        <w:t>）依据企业规模的不同，增速需达到5%--20%，</w:t>
      </w:r>
      <w:r>
        <w:rPr>
          <w:rFonts w:hint="eastAsia" w:eastAsia="仿宋_GB2312"/>
          <w:color w:val="auto"/>
          <w:kern w:val="0"/>
          <w:sz w:val="32"/>
          <w:szCs w:val="32"/>
          <w:highlight w:val="none"/>
          <w:lang w:val="en-US" w:eastAsia="zh-CN"/>
        </w:rPr>
        <w:t>符合第八条的规定。</w:t>
      </w:r>
    </w:p>
    <w:p>
      <w:pPr>
        <w:spacing w:line="312" w:lineRule="auto"/>
        <w:ind w:firstLine="664"/>
        <w:jc w:val="both"/>
        <w:rPr>
          <w:rFonts w:hint="eastAsia" w:ascii="Times New Roman" w:hAnsi="Times New Roman" w:eastAsia="仿宋_GB2312" w:cs="Times New Roman"/>
          <w:color w:val="auto"/>
          <w:spacing w:val="6"/>
          <w:kern w:val="0"/>
          <w:sz w:val="32"/>
          <w:szCs w:val="32"/>
          <w:highlight w:val="none"/>
          <w:lang w:eastAsia="zh-CN"/>
        </w:rPr>
      </w:pPr>
      <w:r>
        <w:rPr>
          <w:rFonts w:hint="eastAsia" w:ascii="Times New Roman" w:hAnsi="Times New Roman" w:eastAsia="仿宋_GB2312" w:cs="Times New Roman"/>
          <w:color w:val="auto"/>
          <w:spacing w:val="6"/>
          <w:kern w:val="0"/>
          <w:sz w:val="32"/>
          <w:szCs w:val="32"/>
          <w:highlight w:val="none"/>
        </w:rPr>
        <w:t>（</w:t>
      </w:r>
      <w:r>
        <w:rPr>
          <w:rFonts w:hint="eastAsia" w:ascii="Times New Roman" w:hAnsi="Times New Roman" w:eastAsia="仿宋_GB2312" w:cs="Times New Roman"/>
          <w:color w:val="auto"/>
          <w:spacing w:val="6"/>
          <w:kern w:val="0"/>
          <w:sz w:val="32"/>
          <w:szCs w:val="32"/>
          <w:highlight w:val="none"/>
          <w:lang w:val="en-US" w:eastAsia="zh-CN"/>
        </w:rPr>
        <w:t>三</w:t>
      </w:r>
      <w:r>
        <w:rPr>
          <w:rFonts w:hint="eastAsia" w:ascii="Times New Roman" w:hAnsi="Times New Roman" w:eastAsia="仿宋_GB2312" w:cs="Times New Roman"/>
          <w:color w:val="auto"/>
          <w:spacing w:val="6"/>
          <w:kern w:val="0"/>
          <w:sz w:val="32"/>
          <w:szCs w:val="32"/>
          <w:highlight w:val="none"/>
        </w:rPr>
        <w:t>）具有健全的财务管理制度、明确的融资需求和资金使用计划</w:t>
      </w:r>
      <w:r>
        <w:rPr>
          <w:rFonts w:hint="eastAsia" w:ascii="Times New Roman" w:hAnsi="Times New Roman" w:eastAsia="仿宋_GB2312" w:cs="Times New Roman"/>
          <w:color w:val="auto"/>
          <w:spacing w:val="6"/>
          <w:kern w:val="0"/>
          <w:sz w:val="32"/>
          <w:szCs w:val="32"/>
          <w:highlight w:val="none"/>
          <w:lang w:eastAsia="zh-CN"/>
        </w:rPr>
        <w:t>。</w:t>
      </w:r>
    </w:p>
    <w:p>
      <w:pPr>
        <w:spacing w:line="312" w:lineRule="auto"/>
        <w:ind w:firstLine="664"/>
        <w:jc w:val="both"/>
        <w:rPr>
          <w:rFonts w:ascii="Times New Roman" w:hAnsi="Times New Roman" w:eastAsia="仿宋_GB2312" w:cs="Times New Roman"/>
          <w:color w:val="auto"/>
          <w:spacing w:val="6"/>
          <w:kern w:val="0"/>
          <w:sz w:val="32"/>
          <w:szCs w:val="32"/>
          <w:highlight w:val="none"/>
        </w:rPr>
      </w:pPr>
      <w:r>
        <w:rPr>
          <w:rFonts w:hint="eastAsia" w:ascii="Times New Roman" w:hAnsi="Times New Roman" w:eastAsia="仿宋_GB2312" w:cs="Times New Roman"/>
          <w:color w:val="auto"/>
          <w:spacing w:val="6"/>
          <w:kern w:val="0"/>
          <w:sz w:val="32"/>
          <w:szCs w:val="32"/>
          <w:highlight w:val="none"/>
        </w:rPr>
        <w:t>（</w:t>
      </w:r>
      <w:r>
        <w:rPr>
          <w:rFonts w:hint="eastAsia" w:ascii="Times New Roman" w:hAnsi="Times New Roman" w:eastAsia="仿宋_GB2312" w:cs="Times New Roman"/>
          <w:color w:val="auto"/>
          <w:spacing w:val="6"/>
          <w:kern w:val="0"/>
          <w:sz w:val="32"/>
          <w:szCs w:val="32"/>
          <w:highlight w:val="none"/>
          <w:lang w:val="en-US" w:eastAsia="zh-CN"/>
        </w:rPr>
        <w:t>四</w:t>
      </w:r>
      <w:r>
        <w:rPr>
          <w:rFonts w:hint="eastAsia" w:ascii="Times New Roman" w:hAnsi="Times New Roman" w:eastAsia="仿宋_GB2312" w:cs="Times New Roman"/>
          <w:color w:val="auto"/>
          <w:spacing w:val="6"/>
          <w:kern w:val="0"/>
          <w:sz w:val="32"/>
          <w:szCs w:val="32"/>
          <w:highlight w:val="none"/>
        </w:rPr>
        <w:t>）符合我区产业导向目录。</w:t>
      </w:r>
    </w:p>
    <w:p>
      <w:pPr>
        <w:spacing w:line="312" w:lineRule="auto"/>
        <w:ind w:firstLine="664"/>
        <w:jc w:val="both"/>
        <w:rPr>
          <w:rFonts w:hint="eastAsia" w:ascii="Times New Roman" w:hAnsi="Times New Roman" w:eastAsia="仿宋_GB2312" w:cs="Times New Roman"/>
          <w:snapToGrid w:val="0"/>
          <w:color w:val="auto"/>
          <w:spacing w:val="6"/>
          <w:kern w:val="0"/>
          <w:sz w:val="32"/>
          <w:szCs w:val="32"/>
          <w:highlight w:val="none"/>
          <w:lang w:eastAsia="zh-CN"/>
        </w:rPr>
      </w:pPr>
      <w:r>
        <w:rPr>
          <w:rFonts w:ascii="Times New Roman" w:hAnsi="Times New Roman" w:eastAsia="黑体" w:cs="Times New Roman"/>
          <w:color w:val="auto"/>
          <w:spacing w:val="6"/>
          <w:kern w:val="0"/>
          <w:sz w:val="32"/>
          <w:szCs w:val="32"/>
          <w:highlight w:val="none"/>
        </w:rPr>
        <w:t>第</w:t>
      </w:r>
      <w:r>
        <w:rPr>
          <w:rFonts w:hint="eastAsia" w:ascii="Times New Roman" w:hAnsi="Times New Roman" w:eastAsia="黑体" w:cs="Times New Roman"/>
          <w:color w:val="auto"/>
          <w:spacing w:val="6"/>
          <w:kern w:val="0"/>
          <w:sz w:val="32"/>
          <w:szCs w:val="32"/>
          <w:highlight w:val="none"/>
        </w:rPr>
        <w:t>六</w:t>
      </w:r>
      <w:r>
        <w:rPr>
          <w:rFonts w:ascii="Times New Roman" w:hAnsi="Times New Roman" w:eastAsia="黑体" w:cs="Times New Roman"/>
          <w:color w:val="auto"/>
          <w:spacing w:val="6"/>
          <w:kern w:val="0"/>
          <w:sz w:val="32"/>
          <w:szCs w:val="32"/>
          <w:highlight w:val="none"/>
        </w:rPr>
        <w:t>条</w:t>
      </w:r>
      <w:r>
        <w:rPr>
          <w:rFonts w:ascii="Times New Roman" w:hAnsi="Times New Roman" w:eastAsia="黑体" w:cs="Times New Roman"/>
          <w:bCs/>
          <w:snapToGrid w:val="0"/>
          <w:color w:val="auto"/>
          <w:spacing w:val="6"/>
          <w:kern w:val="0"/>
          <w:sz w:val="32"/>
          <w:szCs w:val="32"/>
          <w:highlight w:val="none"/>
        </w:rPr>
        <w:t xml:space="preserve"> </w:t>
      </w:r>
      <w:r>
        <w:rPr>
          <w:rFonts w:hint="eastAsia" w:ascii="Times New Roman" w:hAnsi="Times New Roman" w:eastAsia="仿宋_GB2312" w:cs="Times New Roman"/>
          <w:snapToGrid w:val="0"/>
          <w:color w:val="auto"/>
          <w:spacing w:val="6"/>
          <w:kern w:val="0"/>
          <w:sz w:val="32"/>
          <w:szCs w:val="32"/>
          <w:highlight w:val="none"/>
        </w:rPr>
        <w:t>中山火炬高技术产业开发区科技金融综合服务中心（下称：区金融中心）</w:t>
      </w:r>
      <w:r>
        <w:rPr>
          <w:rFonts w:hint="eastAsia" w:ascii="Times New Roman" w:hAnsi="Times New Roman" w:eastAsia="仿宋_GB2312" w:cs="Times New Roman"/>
          <w:snapToGrid w:val="0"/>
          <w:color w:val="auto"/>
          <w:spacing w:val="6"/>
          <w:kern w:val="0"/>
          <w:sz w:val="32"/>
          <w:szCs w:val="32"/>
          <w:highlight w:val="none"/>
          <w:lang w:val="en-US" w:eastAsia="zh-CN"/>
        </w:rPr>
        <w:t>下发申报通知组织企业入库，</w:t>
      </w:r>
      <w:r>
        <w:rPr>
          <w:rFonts w:hint="eastAsia" w:ascii="Times New Roman" w:hAnsi="Times New Roman" w:eastAsia="仿宋_GB2312" w:cs="Times New Roman"/>
          <w:snapToGrid w:val="0"/>
          <w:color w:val="auto"/>
          <w:spacing w:val="6"/>
          <w:kern w:val="0"/>
          <w:sz w:val="32"/>
          <w:szCs w:val="32"/>
          <w:highlight w:val="none"/>
        </w:rPr>
        <w:t>对区内企业提交的入库申请材料进行</w:t>
      </w:r>
      <w:r>
        <w:rPr>
          <w:rFonts w:hint="eastAsia" w:ascii="Times New Roman" w:hAnsi="Times New Roman" w:eastAsia="仿宋_GB2312" w:cs="Times New Roman"/>
          <w:snapToGrid w:val="0"/>
          <w:color w:val="auto"/>
          <w:spacing w:val="6"/>
          <w:kern w:val="0"/>
          <w:sz w:val="32"/>
          <w:szCs w:val="32"/>
          <w:highlight w:val="none"/>
          <w:lang w:val="en-US" w:eastAsia="zh-CN"/>
        </w:rPr>
        <w:t>集中</w:t>
      </w:r>
      <w:r>
        <w:rPr>
          <w:rFonts w:hint="eastAsia" w:ascii="Times New Roman" w:hAnsi="Times New Roman" w:eastAsia="仿宋_GB2312" w:cs="Times New Roman"/>
          <w:snapToGrid w:val="0"/>
          <w:color w:val="auto"/>
          <w:spacing w:val="6"/>
          <w:kern w:val="0"/>
          <w:sz w:val="32"/>
          <w:szCs w:val="32"/>
          <w:highlight w:val="none"/>
        </w:rPr>
        <w:t>初步审核，报请</w:t>
      </w:r>
      <w:r>
        <w:rPr>
          <w:rFonts w:hint="eastAsia" w:ascii="Times New Roman" w:hAnsi="Times New Roman" w:eastAsia="仿宋_GB2312" w:cs="Times New Roman"/>
          <w:color w:val="auto"/>
          <w:spacing w:val="6"/>
          <w:kern w:val="0"/>
          <w:sz w:val="32"/>
          <w:szCs w:val="32"/>
          <w:highlight w:val="none"/>
          <w:lang w:val="en-US" w:eastAsia="zh-CN"/>
        </w:rPr>
        <w:t>中山火炬高技术产业开发区经济发展和科技信息局（下称：</w:t>
      </w:r>
      <w:r>
        <w:rPr>
          <w:rFonts w:hint="eastAsia" w:ascii="Times New Roman" w:hAnsi="Times New Roman" w:eastAsia="仿宋_GB2312" w:cs="Times New Roman"/>
          <w:b w:val="0"/>
          <w:bCs/>
          <w:color w:val="auto"/>
          <w:spacing w:val="6"/>
          <w:kern w:val="0"/>
          <w:sz w:val="32"/>
          <w:szCs w:val="32"/>
          <w:highlight w:val="none"/>
        </w:rPr>
        <w:t>区经科局</w:t>
      </w:r>
      <w:r>
        <w:rPr>
          <w:rFonts w:hint="eastAsia" w:ascii="Times New Roman" w:hAnsi="Times New Roman" w:eastAsia="黑体" w:cs="Times New Roman"/>
          <w:b w:val="0"/>
          <w:bCs/>
          <w:snapToGrid w:val="0"/>
          <w:color w:val="auto"/>
          <w:spacing w:val="6"/>
          <w:kern w:val="0"/>
          <w:sz w:val="32"/>
          <w:szCs w:val="32"/>
          <w:highlight w:val="none"/>
          <w:lang w:val="en-US" w:eastAsia="zh-CN"/>
        </w:rPr>
        <w:t>）</w:t>
      </w:r>
      <w:r>
        <w:rPr>
          <w:rFonts w:hint="eastAsia" w:ascii="Times New Roman" w:hAnsi="Times New Roman" w:eastAsia="仿宋_GB2312" w:cs="Times New Roman"/>
          <w:snapToGrid w:val="0"/>
          <w:color w:val="auto"/>
          <w:spacing w:val="6"/>
          <w:kern w:val="0"/>
          <w:sz w:val="32"/>
          <w:szCs w:val="32"/>
          <w:highlight w:val="none"/>
        </w:rPr>
        <w:t>审定</w:t>
      </w:r>
      <w:r>
        <w:rPr>
          <w:rFonts w:hint="eastAsia" w:ascii="Times New Roman" w:hAnsi="Times New Roman" w:eastAsia="仿宋_GB2312" w:cs="Times New Roman"/>
          <w:snapToGrid w:val="0"/>
          <w:color w:val="auto"/>
          <w:spacing w:val="6"/>
          <w:kern w:val="0"/>
          <w:sz w:val="32"/>
          <w:szCs w:val="32"/>
          <w:highlight w:val="none"/>
          <w:lang w:eastAsia="zh-CN"/>
        </w:rPr>
        <w:t>。</w:t>
      </w:r>
    </w:p>
    <w:p>
      <w:pPr>
        <w:spacing w:line="312" w:lineRule="auto"/>
        <w:ind w:firstLine="664"/>
        <w:jc w:val="both"/>
        <w:rPr>
          <w:rFonts w:ascii="Times New Roman" w:hAnsi="Times New Roman" w:eastAsia="仿宋_GB2312" w:cs="Times New Roman"/>
          <w:color w:val="auto"/>
          <w:spacing w:val="6"/>
          <w:sz w:val="31"/>
          <w:szCs w:val="31"/>
          <w:highlight w:val="none"/>
        </w:rPr>
      </w:pPr>
      <w:r>
        <w:rPr>
          <w:rFonts w:ascii="Times New Roman" w:hAnsi="Times New Roman" w:eastAsia="黑体" w:cs="Times New Roman"/>
          <w:color w:val="auto"/>
          <w:spacing w:val="6"/>
          <w:kern w:val="0"/>
          <w:sz w:val="32"/>
          <w:szCs w:val="32"/>
          <w:highlight w:val="none"/>
        </w:rPr>
        <w:t>第</w:t>
      </w:r>
      <w:r>
        <w:rPr>
          <w:rFonts w:hint="eastAsia" w:ascii="Times New Roman" w:hAnsi="Times New Roman" w:eastAsia="黑体" w:cs="Times New Roman"/>
          <w:color w:val="auto"/>
          <w:spacing w:val="6"/>
          <w:kern w:val="0"/>
          <w:sz w:val="32"/>
          <w:szCs w:val="32"/>
          <w:highlight w:val="none"/>
        </w:rPr>
        <w:t>七</w:t>
      </w:r>
      <w:r>
        <w:rPr>
          <w:rFonts w:ascii="Times New Roman" w:hAnsi="Times New Roman" w:eastAsia="黑体" w:cs="Times New Roman"/>
          <w:color w:val="auto"/>
          <w:spacing w:val="6"/>
          <w:kern w:val="0"/>
          <w:sz w:val="32"/>
          <w:szCs w:val="32"/>
          <w:highlight w:val="none"/>
        </w:rPr>
        <w:t xml:space="preserve">条 </w:t>
      </w:r>
      <w:r>
        <w:rPr>
          <w:rFonts w:hint="eastAsia" w:ascii="Times New Roman" w:hAnsi="Times New Roman" w:eastAsia="仿宋_GB2312" w:cs="Times New Roman"/>
          <w:color w:val="auto"/>
          <w:spacing w:val="6"/>
          <w:sz w:val="31"/>
          <w:szCs w:val="31"/>
          <w:highlight w:val="none"/>
        </w:rPr>
        <w:t>信贷业务的贷款期限最长1年，企业办理信贷业务后</w:t>
      </w:r>
      <w:r>
        <w:rPr>
          <w:rFonts w:hint="eastAsia" w:ascii="Times New Roman" w:hAnsi="Times New Roman" w:eastAsia="仿宋_GB2312" w:cs="Times New Roman"/>
          <w:color w:val="auto"/>
          <w:spacing w:val="6"/>
          <w:sz w:val="31"/>
          <w:szCs w:val="31"/>
          <w:highlight w:val="none"/>
          <w:lang w:eastAsia="zh-CN"/>
        </w:rPr>
        <w:t>规模</w:t>
      </w:r>
      <w:r>
        <w:rPr>
          <w:rFonts w:hint="eastAsia" w:ascii="Times New Roman" w:hAnsi="Times New Roman" w:eastAsia="仿宋_GB2312" w:cs="Times New Roman"/>
          <w:color w:val="auto"/>
          <w:spacing w:val="6"/>
          <w:sz w:val="31"/>
          <w:szCs w:val="31"/>
          <w:highlight w:val="none"/>
        </w:rPr>
        <w:t>比增高于规定增速的可续贷，续贷不超过2次。</w:t>
      </w:r>
    </w:p>
    <w:p>
      <w:pPr>
        <w:spacing w:line="312" w:lineRule="auto"/>
        <w:jc w:val="both"/>
        <w:rPr>
          <w:rFonts w:ascii="Times New Roman" w:hAnsi="Times New Roman" w:eastAsia="仿宋_GB2312" w:cs="Times New Roman"/>
          <w:color w:val="auto"/>
          <w:spacing w:val="6"/>
          <w:sz w:val="32"/>
          <w:szCs w:val="32"/>
          <w:highlight w:val="none"/>
        </w:rPr>
      </w:pPr>
      <w:r>
        <w:rPr>
          <w:rFonts w:hint="eastAsia" w:ascii="Times New Roman" w:hAnsi="Times New Roman" w:eastAsia="仿宋_GB2312" w:cs="Times New Roman"/>
          <w:color w:val="auto"/>
          <w:spacing w:val="6"/>
          <w:sz w:val="31"/>
          <w:szCs w:val="31"/>
          <w:highlight w:val="none"/>
        </w:rPr>
        <w:t xml:space="preserve">    信贷业务应单独签订合同，贷款利率由借贷双方在公平自愿的基础上依法协商确定，合作银行应尽可能为《培育库》内企业提供优惠利率。</w:t>
      </w:r>
    </w:p>
    <w:p>
      <w:pPr>
        <w:spacing w:line="312" w:lineRule="auto"/>
        <w:ind w:firstLine="664"/>
        <w:jc w:val="both"/>
        <w:rPr>
          <w:rFonts w:hint="eastAsia" w:ascii="仿宋_GB2312" w:hAnsi="仿宋_GB2312" w:eastAsia="仿宋_GB2312" w:cs="仿宋_GB2312"/>
          <w:bCs/>
          <w:snapToGrid w:val="0"/>
          <w:color w:val="auto"/>
          <w:spacing w:val="6"/>
          <w:kern w:val="0"/>
          <w:sz w:val="32"/>
          <w:szCs w:val="32"/>
          <w:highlight w:val="none"/>
          <w:lang w:val="en-US" w:eastAsia="zh-CN"/>
        </w:rPr>
      </w:pPr>
      <w:r>
        <w:rPr>
          <w:rFonts w:ascii="Times New Roman" w:hAnsi="Times New Roman" w:eastAsia="黑体" w:cs="Times New Roman"/>
          <w:bCs/>
          <w:snapToGrid w:val="0"/>
          <w:color w:val="auto"/>
          <w:spacing w:val="6"/>
          <w:kern w:val="0"/>
          <w:sz w:val="32"/>
          <w:szCs w:val="32"/>
          <w:highlight w:val="none"/>
        </w:rPr>
        <w:t>第</w:t>
      </w:r>
      <w:r>
        <w:rPr>
          <w:rFonts w:hint="eastAsia" w:ascii="Times New Roman" w:hAnsi="Times New Roman" w:eastAsia="黑体" w:cs="Times New Roman"/>
          <w:bCs/>
          <w:snapToGrid w:val="0"/>
          <w:color w:val="auto"/>
          <w:spacing w:val="6"/>
          <w:kern w:val="0"/>
          <w:sz w:val="32"/>
          <w:szCs w:val="32"/>
          <w:highlight w:val="none"/>
          <w:lang w:val="en-US" w:eastAsia="zh-CN"/>
        </w:rPr>
        <w:t>八</w:t>
      </w:r>
      <w:r>
        <w:rPr>
          <w:rFonts w:ascii="Times New Roman" w:hAnsi="Times New Roman" w:eastAsia="黑体" w:cs="Times New Roman"/>
          <w:bCs/>
          <w:snapToGrid w:val="0"/>
          <w:color w:val="auto"/>
          <w:spacing w:val="6"/>
          <w:kern w:val="0"/>
          <w:sz w:val="32"/>
          <w:szCs w:val="32"/>
          <w:highlight w:val="none"/>
        </w:rPr>
        <w:t>条</w:t>
      </w:r>
      <w:r>
        <w:rPr>
          <w:rFonts w:hint="eastAsia" w:ascii="Times New Roman" w:hAnsi="Times New Roman" w:eastAsia="黑体" w:cs="Times New Roman"/>
          <w:bCs/>
          <w:snapToGrid w:val="0"/>
          <w:color w:val="auto"/>
          <w:spacing w:val="6"/>
          <w:kern w:val="0"/>
          <w:sz w:val="32"/>
          <w:szCs w:val="32"/>
          <w:highlight w:val="none"/>
        </w:rPr>
        <w:t xml:space="preserve"> </w:t>
      </w:r>
      <w:r>
        <w:rPr>
          <w:rFonts w:hint="eastAsia" w:ascii="仿宋_GB2312" w:hAnsi="仿宋_GB2312" w:eastAsia="仿宋_GB2312" w:cs="仿宋_GB2312"/>
          <w:bCs/>
          <w:snapToGrid w:val="0"/>
          <w:color w:val="auto"/>
          <w:spacing w:val="6"/>
          <w:kern w:val="0"/>
          <w:sz w:val="32"/>
          <w:szCs w:val="32"/>
          <w:highlight w:val="none"/>
          <w:lang w:val="en-US" w:eastAsia="zh-CN"/>
        </w:rPr>
        <w:t>企业入池、续贷、贷款规模和贴息需符合以下条件：</w:t>
      </w:r>
    </w:p>
    <w:p>
      <w:pPr>
        <w:spacing w:line="312" w:lineRule="auto"/>
        <w:ind w:firstLine="664"/>
        <w:jc w:val="both"/>
        <w:rPr>
          <w:rFonts w:hint="eastAsia" w:ascii="Times New Roman" w:hAnsi="Times New Roman" w:eastAsia="仿宋_GB2312" w:cs="Times New Roman"/>
          <w:color w:val="auto"/>
          <w:spacing w:val="6"/>
          <w:sz w:val="31"/>
          <w:szCs w:val="31"/>
          <w:highlight w:val="none"/>
          <w:lang w:val="en-US" w:eastAsia="zh-CN"/>
        </w:rPr>
      </w:pPr>
      <w:r>
        <w:rPr>
          <w:rFonts w:hint="eastAsia" w:ascii="仿宋_GB2312" w:hAnsi="仿宋_GB2312" w:eastAsia="仿宋_GB2312" w:cs="仿宋_GB2312"/>
          <w:b w:val="0"/>
          <w:bCs/>
          <w:snapToGrid w:val="0"/>
          <w:color w:val="auto"/>
          <w:spacing w:val="6"/>
          <w:kern w:val="0"/>
          <w:sz w:val="32"/>
          <w:szCs w:val="32"/>
          <w:highlight w:val="none"/>
          <w:lang w:eastAsia="zh-CN"/>
        </w:rPr>
        <w:t>（</w:t>
      </w:r>
      <w:r>
        <w:rPr>
          <w:rFonts w:hint="eastAsia" w:ascii="仿宋_GB2312" w:hAnsi="仿宋_GB2312" w:eastAsia="仿宋_GB2312" w:cs="仿宋_GB2312"/>
          <w:b w:val="0"/>
          <w:bCs/>
          <w:snapToGrid w:val="0"/>
          <w:color w:val="auto"/>
          <w:spacing w:val="6"/>
          <w:kern w:val="0"/>
          <w:sz w:val="32"/>
          <w:szCs w:val="32"/>
          <w:highlight w:val="none"/>
          <w:lang w:val="en-US" w:eastAsia="zh-CN"/>
        </w:rPr>
        <w:t>一</w:t>
      </w:r>
      <w:r>
        <w:rPr>
          <w:rFonts w:hint="eastAsia" w:ascii="仿宋_GB2312" w:hAnsi="仿宋_GB2312" w:eastAsia="仿宋_GB2312" w:cs="仿宋_GB2312"/>
          <w:b w:val="0"/>
          <w:bCs/>
          <w:snapToGrid w:val="0"/>
          <w:color w:val="auto"/>
          <w:spacing w:val="6"/>
          <w:kern w:val="0"/>
          <w:sz w:val="32"/>
          <w:szCs w:val="32"/>
          <w:highlight w:val="none"/>
          <w:lang w:eastAsia="zh-CN"/>
        </w:rPr>
        <w:t>）</w:t>
      </w:r>
      <w:r>
        <w:rPr>
          <w:rFonts w:hint="eastAsia" w:ascii="仿宋_GB2312" w:hAnsi="仿宋_GB2312" w:eastAsia="仿宋_GB2312" w:cs="仿宋_GB2312"/>
          <w:b w:val="0"/>
          <w:bCs/>
          <w:snapToGrid w:val="0"/>
          <w:color w:val="auto"/>
          <w:spacing w:val="6"/>
          <w:kern w:val="0"/>
          <w:sz w:val="32"/>
          <w:szCs w:val="32"/>
          <w:highlight w:val="none"/>
          <w:lang w:val="en-US" w:eastAsia="zh-CN"/>
        </w:rPr>
        <w:t>入池、续贷和贷款规模</w:t>
      </w:r>
      <w:r>
        <w:rPr>
          <w:rFonts w:hint="eastAsia" w:ascii="Times New Roman" w:hAnsi="Times New Roman" w:eastAsia="仿宋_GB2312" w:cs="Times New Roman"/>
          <w:color w:val="auto"/>
          <w:spacing w:val="6"/>
          <w:sz w:val="31"/>
          <w:szCs w:val="31"/>
          <w:highlight w:val="none"/>
          <w:lang w:val="en-US" w:eastAsia="zh-CN"/>
        </w:rPr>
        <w:t>根据企业规模划分为5000万元以下（仅限工业企业）、5000万元（含）至1亿元、1亿元（含）至5亿元、5亿元（含）至10亿元等四个类型；申请《培育库》企业入池前一年的规模增速分别不低于20%、15%、10%、5%；续贷企业</w:t>
      </w:r>
      <w:r>
        <w:rPr>
          <w:rFonts w:hint="eastAsia" w:ascii="Times New Roman" w:hAnsi="Times New Roman" w:eastAsia="仿宋_GB2312" w:cs="Times New Roman"/>
          <w:color w:val="auto"/>
          <w:spacing w:val="6"/>
          <w:sz w:val="31"/>
          <w:szCs w:val="31"/>
          <w:highlight w:val="none"/>
        </w:rPr>
        <w:t>办理信贷业务后</w:t>
      </w:r>
      <w:r>
        <w:rPr>
          <w:rFonts w:hint="eastAsia" w:ascii="Times New Roman" w:hAnsi="Times New Roman" w:eastAsia="仿宋_GB2312" w:cs="Times New Roman"/>
          <w:color w:val="auto"/>
          <w:spacing w:val="6"/>
          <w:sz w:val="31"/>
          <w:szCs w:val="31"/>
          <w:highlight w:val="none"/>
          <w:lang w:val="en-US" w:eastAsia="zh-CN"/>
        </w:rPr>
        <w:t>规模增速分别不低于20%、15%、10%、5%；单个企业贷款规模分别不高于500万元、1000万元、1500万元、2000万元。</w:t>
      </w:r>
    </w:p>
    <w:p>
      <w:pPr>
        <w:spacing w:line="312" w:lineRule="auto"/>
        <w:ind w:firstLine="664"/>
        <w:jc w:val="both"/>
        <w:rPr>
          <w:rFonts w:hint="eastAsia" w:ascii="Times New Roman" w:hAnsi="Times New Roman" w:eastAsia="仿宋_GB2312" w:cs="Times New Roman"/>
          <w:color w:val="auto"/>
          <w:spacing w:val="6"/>
          <w:kern w:val="0"/>
          <w:sz w:val="32"/>
          <w:szCs w:val="32"/>
          <w:highlight w:val="none"/>
          <w:lang w:val="en-US" w:eastAsia="zh-CN"/>
        </w:rPr>
      </w:pPr>
      <w:r>
        <w:rPr>
          <w:rFonts w:hint="eastAsia" w:ascii="Times New Roman" w:hAnsi="Times New Roman" w:eastAsia="仿宋_GB2312" w:cs="Times New Roman"/>
          <w:color w:val="auto"/>
          <w:spacing w:val="6"/>
          <w:kern w:val="0"/>
          <w:sz w:val="32"/>
          <w:szCs w:val="32"/>
          <w:highlight w:val="none"/>
        </w:rPr>
        <w:t>（</w:t>
      </w:r>
      <w:r>
        <w:rPr>
          <w:rFonts w:hint="eastAsia" w:ascii="Times New Roman" w:hAnsi="Times New Roman" w:eastAsia="仿宋_GB2312" w:cs="Times New Roman"/>
          <w:color w:val="auto"/>
          <w:spacing w:val="6"/>
          <w:kern w:val="0"/>
          <w:sz w:val="32"/>
          <w:szCs w:val="32"/>
          <w:highlight w:val="none"/>
          <w:lang w:val="en-US" w:eastAsia="zh-CN"/>
        </w:rPr>
        <w:t>二</w:t>
      </w:r>
      <w:r>
        <w:rPr>
          <w:rFonts w:hint="eastAsia" w:ascii="Times New Roman" w:hAnsi="Times New Roman" w:eastAsia="仿宋_GB2312" w:cs="Times New Roman"/>
          <w:color w:val="auto"/>
          <w:spacing w:val="6"/>
          <w:kern w:val="0"/>
          <w:sz w:val="32"/>
          <w:szCs w:val="32"/>
          <w:highlight w:val="none"/>
        </w:rPr>
        <w:t>）</w:t>
      </w:r>
      <w:r>
        <w:rPr>
          <w:rFonts w:hint="eastAsia" w:ascii="Times New Roman" w:hAnsi="Times New Roman" w:eastAsia="仿宋_GB2312" w:cs="Times New Roman"/>
          <w:color w:val="auto"/>
          <w:spacing w:val="6"/>
          <w:kern w:val="0"/>
          <w:sz w:val="32"/>
          <w:szCs w:val="32"/>
          <w:highlight w:val="none"/>
          <w:lang w:val="en-US" w:eastAsia="zh-CN"/>
        </w:rPr>
        <w:t>贴息标准如下：</w:t>
      </w:r>
    </w:p>
    <w:p>
      <w:pPr>
        <w:spacing w:line="312" w:lineRule="auto"/>
        <w:ind w:firstLine="664"/>
        <w:jc w:val="both"/>
        <w:rPr>
          <w:rFonts w:hint="eastAsia" w:ascii="Times New Roman" w:hAnsi="Times New Roman" w:eastAsia="仿宋_GB2312" w:cs="Times New Roman"/>
          <w:color w:val="auto"/>
          <w:spacing w:val="6"/>
          <w:sz w:val="31"/>
          <w:szCs w:val="31"/>
          <w:highlight w:val="none"/>
          <w:lang w:val="en-US" w:eastAsia="zh-CN"/>
        </w:rPr>
      </w:pPr>
      <w:r>
        <w:rPr>
          <w:rFonts w:hint="eastAsia" w:ascii="Times New Roman" w:hAnsi="Times New Roman" w:eastAsia="仿宋_GB2312" w:cs="Times New Roman"/>
          <w:color w:val="auto"/>
          <w:spacing w:val="6"/>
          <w:kern w:val="0"/>
          <w:sz w:val="32"/>
          <w:szCs w:val="32"/>
          <w:highlight w:val="none"/>
          <w:lang w:val="en-US" w:eastAsia="zh-CN"/>
        </w:rPr>
        <w:t>1.规模5000万元以下</w:t>
      </w:r>
      <w:r>
        <w:rPr>
          <w:rFonts w:hint="eastAsia" w:ascii="Times New Roman" w:hAnsi="Times New Roman" w:eastAsia="仿宋_GB2312" w:cs="Times New Roman"/>
          <w:color w:val="auto"/>
          <w:spacing w:val="6"/>
          <w:sz w:val="31"/>
          <w:szCs w:val="31"/>
          <w:highlight w:val="none"/>
        </w:rPr>
        <w:t>企业</w:t>
      </w:r>
      <w:r>
        <w:rPr>
          <w:rFonts w:hint="eastAsia" w:ascii="Times New Roman" w:hAnsi="Times New Roman" w:eastAsia="仿宋_GB2312" w:cs="Times New Roman"/>
          <w:color w:val="auto"/>
          <w:spacing w:val="6"/>
          <w:sz w:val="31"/>
          <w:szCs w:val="31"/>
          <w:highlight w:val="none"/>
          <w:lang w:eastAsia="zh-CN"/>
        </w:rPr>
        <w:t>（</w:t>
      </w:r>
      <w:r>
        <w:rPr>
          <w:rFonts w:hint="eastAsia" w:ascii="Times New Roman" w:hAnsi="Times New Roman" w:eastAsia="仿宋_GB2312" w:cs="Times New Roman"/>
          <w:color w:val="auto"/>
          <w:spacing w:val="6"/>
          <w:sz w:val="31"/>
          <w:szCs w:val="31"/>
          <w:highlight w:val="none"/>
          <w:lang w:val="en-US" w:eastAsia="zh-CN"/>
        </w:rPr>
        <w:t>仅限工业企业</w:t>
      </w:r>
      <w:r>
        <w:rPr>
          <w:rFonts w:hint="eastAsia" w:ascii="Times New Roman" w:hAnsi="Times New Roman" w:eastAsia="仿宋_GB2312" w:cs="Times New Roman"/>
          <w:color w:val="auto"/>
          <w:spacing w:val="6"/>
          <w:sz w:val="31"/>
          <w:szCs w:val="31"/>
          <w:highlight w:val="none"/>
          <w:lang w:eastAsia="zh-CN"/>
        </w:rPr>
        <w:t>）</w:t>
      </w:r>
      <w:r>
        <w:rPr>
          <w:rFonts w:hint="eastAsia" w:ascii="Times New Roman" w:hAnsi="Times New Roman" w:eastAsia="仿宋_GB2312" w:cs="Times New Roman"/>
          <w:color w:val="auto"/>
          <w:spacing w:val="6"/>
          <w:sz w:val="31"/>
          <w:szCs w:val="31"/>
          <w:highlight w:val="none"/>
        </w:rPr>
        <w:t>办理信贷业务后</w:t>
      </w:r>
      <w:r>
        <w:rPr>
          <w:rFonts w:hint="eastAsia" w:ascii="Times New Roman" w:hAnsi="Times New Roman" w:eastAsia="仿宋_GB2312" w:cs="Times New Roman"/>
          <w:color w:val="auto"/>
          <w:spacing w:val="6"/>
          <w:sz w:val="31"/>
          <w:szCs w:val="31"/>
          <w:highlight w:val="none"/>
          <w:lang w:eastAsia="zh-CN"/>
        </w:rPr>
        <w:t>规模</w:t>
      </w:r>
      <w:r>
        <w:rPr>
          <w:rFonts w:hint="eastAsia" w:ascii="Times New Roman" w:hAnsi="Times New Roman" w:eastAsia="仿宋_GB2312" w:cs="Times New Roman"/>
          <w:color w:val="auto"/>
          <w:spacing w:val="6"/>
          <w:sz w:val="31"/>
          <w:szCs w:val="31"/>
          <w:highlight w:val="none"/>
        </w:rPr>
        <w:t>比增超</w:t>
      </w:r>
      <w:r>
        <w:rPr>
          <w:rFonts w:hint="eastAsia" w:ascii="Times New Roman" w:hAnsi="Times New Roman" w:eastAsia="仿宋_GB2312" w:cs="Times New Roman"/>
          <w:color w:val="auto"/>
          <w:spacing w:val="6"/>
          <w:sz w:val="31"/>
          <w:szCs w:val="31"/>
          <w:highlight w:val="none"/>
          <w:lang w:val="en-US" w:eastAsia="zh-CN"/>
        </w:rPr>
        <w:t>过</w:t>
      </w:r>
      <w:r>
        <w:rPr>
          <w:rFonts w:hint="eastAsia" w:ascii="Times New Roman" w:hAnsi="Times New Roman" w:eastAsia="仿宋_GB2312" w:cs="Times New Roman"/>
          <w:color w:val="auto"/>
          <w:spacing w:val="6"/>
          <w:sz w:val="31"/>
          <w:szCs w:val="31"/>
          <w:highlight w:val="none"/>
        </w:rPr>
        <w:t>2</w:t>
      </w:r>
      <w:r>
        <w:rPr>
          <w:rFonts w:hint="eastAsia" w:ascii="Times New Roman" w:hAnsi="Times New Roman" w:eastAsia="仿宋_GB2312" w:cs="Times New Roman"/>
          <w:color w:val="auto"/>
          <w:spacing w:val="6"/>
          <w:sz w:val="31"/>
          <w:szCs w:val="31"/>
          <w:highlight w:val="none"/>
          <w:lang w:val="en-US" w:eastAsia="zh-CN"/>
        </w:rPr>
        <w:t>5</w:t>
      </w:r>
      <w:r>
        <w:rPr>
          <w:rFonts w:hint="eastAsia" w:ascii="Times New Roman" w:hAnsi="Times New Roman" w:eastAsia="仿宋_GB2312" w:cs="Times New Roman"/>
          <w:color w:val="auto"/>
          <w:spacing w:val="6"/>
          <w:sz w:val="31"/>
          <w:szCs w:val="31"/>
          <w:highlight w:val="none"/>
        </w:rPr>
        <w:t>%（含）未超</w:t>
      </w:r>
      <w:r>
        <w:rPr>
          <w:rFonts w:hint="eastAsia" w:ascii="Times New Roman" w:hAnsi="Times New Roman" w:eastAsia="仿宋_GB2312" w:cs="Times New Roman"/>
          <w:color w:val="auto"/>
          <w:spacing w:val="6"/>
          <w:sz w:val="31"/>
          <w:szCs w:val="31"/>
          <w:highlight w:val="none"/>
          <w:lang w:val="en-US" w:eastAsia="zh-CN"/>
        </w:rPr>
        <w:t>过</w:t>
      </w:r>
      <w:r>
        <w:rPr>
          <w:rFonts w:hint="eastAsia" w:ascii="Times New Roman" w:hAnsi="Times New Roman" w:eastAsia="仿宋_GB2312" w:cs="Times New Roman"/>
          <w:color w:val="auto"/>
          <w:spacing w:val="6"/>
          <w:sz w:val="31"/>
          <w:szCs w:val="31"/>
          <w:highlight w:val="none"/>
        </w:rPr>
        <w:t>50%的，按实际支付利息最高不超过</w:t>
      </w:r>
      <w:r>
        <w:rPr>
          <w:rFonts w:hint="eastAsia" w:ascii="Times New Roman" w:hAnsi="Times New Roman" w:eastAsia="仿宋_GB2312" w:cs="Times New Roman"/>
          <w:color w:val="auto"/>
          <w:spacing w:val="6"/>
          <w:sz w:val="31"/>
          <w:szCs w:val="31"/>
          <w:highlight w:val="none"/>
          <w:lang w:val="en-US" w:eastAsia="zh-CN"/>
        </w:rPr>
        <w:t>2</w:t>
      </w:r>
      <w:r>
        <w:rPr>
          <w:rFonts w:hint="eastAsia" w:ascii="Times New Roman" w:hAnsi="Times New Roman" w:eastAsia="仿宋_GB2312" w:cs="Times New Roman"/>
          <w:color w:val="auto"/>
          <w:spacing w:val="6"/>
          <w:sz w:val="31"/>
          <w:szCs w:val="31"/>
          <w:highlight w:val="none"/>
        </w:rPr>
        <w:t>0%的比例给予贴息</w:t>
      </w:r>
      <w:r>
        <w:rPr>
          <w:rFonts w:hint="eastAsia" w:ascii="Times New Roman" w:hAnsi="Times New Roman" w:eastAsia="仿宋_GB2312" w:cs="Times New Roman"/>
          <w:color w:val="auto"/>
          <w:spacing w:val="6"/>
          <w:sz w:val="31"/>
          <w:szCs w:val="31"/>
          <w:highlight w:val="none"/>
          <w:lang w:eastAsia="zh-CN"/>
        </w:rPr>
        <w:t>，</w:t>
      </w:r>
      <w:r>
        <w:rPr>
          <w:rFonts w:hint="eastAsia" w:ascii="Times New Roman" w:hAnsi="Times New Roman" w:eastAsia="仿宋_GB2312" w:cs="Times New Roman"/>
          <w:color w:val="auto"/>
          <w:spacing w:val="6"/>
          <w:sz w:val="31"/>
          <w:szCs w:val="31"/>
          <w:highlight w:val="none"/>
          <w:lang w:val="en-US" w:eastAsia="zh-CN"/>
        </w:rPr>
        <w:t>最高不超过6万元；</w:t>
      </w:r>
      <w:r>
        <w:rPr>
          <w:rFonts w:hint="eastAsia" w:ascii="Times New Roman" w:hAnsi="Times New Roman" w:eastAsia="仿宋_GB2312" w:cs="Times New Roman"/>
          <w:color w:val="auto"/>
          <w:spacing w:val="6"/>
          <w:sz w:val="31"/>
          <w:szCs w:val="31"/>
          <w:highlight w:val="none"/>
        </w:rPr>
        <w:t>比增超</w:t>
      </w:r>
      <w:r>
        <w:rPr>
          <w:rFonts w:hint="eastAsia" w:ascii="Times New Roman" w:hAnsi="Times New Roman" w:eastAsia="仿宋_GB2312" w:cs="Times New Roman"/>
          <w:color w:val="auto"/>
          <w:spacing w:val="6"/>
          <w:sz w:val="31"/>
          <w:szCs w:val="31"/>
          <w:highlight w:val="none"/>
          <w:lang w:val="en-US" w:eastAsia="zh-CN"/>
        </w:rPr>
        <w:t>过50</w:t>
      </w:r>
      <w:r>
        <w:rPr>
          <w:rFonts w:hint="eastAsia" w:ascii="Times New Roman" w:hAnsi="Times New Roman" w:eastAsia="仿宋_GB2312" w:cs="Times New Roman"/>
          <w:color w:val="auto"/>
          <w:spacing w:val="6"/>
          <w:sz w:val="31"/>
          <w:szCs w:val="31"/>
          <w:highlight w:val="none"/>
        </w:rPr>
        <w:t>%（含）的，按实际支付利息最高不超过</w:t>
      </w:r>
      <w:r>
        <w:rPr>
          <w:rFonts w:hint="eastAsia" w:ascii="Times New Roman" w:hAnsi="Times New Roman" w:eastAsia="仿宋_GB2312" w:cs="Times New Roman"/>
          <w:color w:val="auto"/>
          <w:spacing w:val="6"/>
          <w:sz w:val="31"/>
          <w:szCs w:val="31"/>
          <w:highlight w:val="none"/>
          <w:lang w:val="en-US" w:eastAsia="zh-CN"/>
        </w:rPr>
        <w:t>5</w:t>
      </w:r>
      <w:r>
        <w:rPr>
          <w:rFonts w:hint="eastAsia" w:ascii="Times New Roman" w:hAnsi="Times New Roman" w:eastAsia="仿宋_GB2312" w:cs="Times New Roman"/>
          <w:color w:val="auto"/>
          <w:spacing w:val="6"/>
          <w:sz w:val="31"/>
          <w:szCs w:val="31"/>
          <w:highlight w:val="none"/>
        </w:rPr>
        <w:t>0%的比例给予贴息</w:t>
      </w:r>
      <w:r>
        <w:rPr>
          <w:rFonts w:hint="eastAsia" w:ascii="Times New Roman" w:hAnsi="Times New Roman" w:eastAsia="仿宋_GB2312" w:cs="Times New Roman"/>
          <w:color w:val="auto"/>
          <w:spacing w:val="6"/>
          <w:sz w:val="31"/>
          <w:szCs w:val="31"/>
          <w:highlight w:val="none"/>
          <w:lang w:eastAsia="zh-CN"/>
        </w:rPr>
        <w:t>，</w:t>
      </w:r>
      <w:r>
        <w:rPr>
          <w:rFonts w:hint="eastAsia" w:ascii="Times New Roman" w:hAnsi="Times New Roman" w:eastAsia="仿宋_GB2312" w:cs="Times New Roman"/>
          <w:color w:val="auto"/>
          <w:spacing w:val="6"/>
          <w:sz w:val="31"/>
          <w:szCs w:val="31"/>
          <w:highlight w:val="none"/>
          <w:lang w:val="en-US" w:eastAsia="zh-CN"/>
        </w:rPr>
        <w:t>最高不超过15万元；</w:t>
      </w:r>
    </w:p>
    <w:p>
      <w:pPr>
        <w:spacing w:line="312" w:lineRule="auto"/>
        <w:ind w:firstLine="664"/>
        <w:jc w:val="both"/>
        <w:rPr>
          <w:rFonts w:hint="eastAsia" w:ascii="Times New Roman" w:hAnsi="Times New Roman" w:eastAsia="仿宋_GB2312" w:cs="Times New Roman"/>
          <w:color w:val="auto"/>
          <w:spacing w:val="6"/>
          <w:sz w:val="31"/>
          <w:szCs w:val="31"/>
          <w:highlight w:val="none"/>
          <w:lang w:val="en-US" w:eastAsia="zh-CN"/>
        </w:rPr>
      </w:pPr>
      <w:r>
        <w:rPr>
          <w:rFonts w:hint="eastAsia" w:ascii="Times New Roman" w:hAnsi="Times New Roman" w:eastAsia="仿宋_GB2312" w:cs="Times New Roman"/>
          <w:color w:val="auto"/>
          <w:spacing w:val="6"/>
          <w:kern w:val="0"/>
          <w:sz w:val="32"/>
          <w:szCs w:val="32"/>
          <w:highlight w:val="none"/>
          <w:lang w:val="en-US" w:eastAsia="zh-CN"/>
        </w:rPr>
        <w:t>2.规模</w:t>
      </w:r>
      <w:r>
        <w:rPr>
          <w:rFonts w:hint="eastAsia" w:ascii="Times New Roman" w:hAnsi="Times New Roman" w:eastAsia="仿宋_GB2312" w:cs="Times New Roman"/>
          <w:color w:val="auto"/>
          <w:spacing w:val="6"/>
          <w:sz w:val="31"/>
          <w:szCs w:val="31"/>
          <w:highlight w:val="none"/>
          <w:lang w:val="en-US" w:eastAsia="zh-CN"/>
        </w:rPr>
        <w:t>5000万元（含）至1亿元</w:t>
      </w:r>
      <w:r>
        <w:rPr>
          <w:rFonts w:hint="eastAsia" w:ascii="Times New Roman" w:hAnsi="Times New Roman" w:eastAsia="仿宋_GB2312" w:cs="Times New Roman"/>
          <w:color w:val="auto"/>
          <w:spacing w:val="6"/>
          <w:sz w:val="31"/>
          <w:szCs w:val="31"/>
          <w:highlight w:val="none"/>
        </w:rPr>
        <w:t>企业办理信贷业务后</w:t>
      </w:r>
      <w:r>
        <w:rPr>
          <w:rFonts w:hint="eastAsia" w:ascii="Times New Roman" w:hAnsi="Times New Roman" w:eastAsia="仿宋_GB2312" w:cs="Times New Roman"/>
          <w:color w:val="auto"/>
          <w:spacing w:val="6"/>
          <w:sz w:val="31"/>
          <w:szCs w:val="31"/>
          <w:highlight w:val="none"/>
          <w:lang w:eastAsia="zh-CN"/>
        </w:rPr>
        <w:t>规模</w:t>
      </w:r>
      <w:r>
        <w:rPr>
          <w:rFonts w:hint="eastAsia" w:ascii="Times New Roman" w:hAnsi="Times New Roman" w:eastAsia="仿宋_GB2312" w:cs="Times New Roman"/>
          <w:color w:val="auto"/>
          <w:spacing w:val="6"/>
          <w:sz w:val="31"/>
          <w:szCs w:val="31"/>
          <w:highlight w:val="none"/>
        </w:rPr>
        <w:t>比增超</w:t>
      </w:r>
      <w:r>
        <w:rPr>
          <w:rFonts w:hint="eastAsia" w:ascii="Times New Roman" w:hAnsi="Times New Roman" w:eastAsia="仿宋_GB2312" w:cs="Times New Roman"/>
          <w:color w:val="auto"/>
          <w:spacing w:val="6"/>
          <w:sz w:val="31"/>
          <w:szCs w:val="31"/>
          <w:highlight w:val="none"/>
          <w:lang w:val="en-US" w:eastAsia="zh-CN"/>
        </w:rPr>
        <w:t>过20</w:t>
      </w:r>
      <w:r>
        <w:rPr>
          <w:rFonts w:hint="eastAsia" w:ascii="Times New Roman" w:hAnsi="Times New Roman" w:eastAsia="仿宋_GB2312" w:cs="Times New Roman"/>
          <w:color w:val="auto"/>
          <w:spacing w:val="6"/>
          <w:sz w:val="31"/>
          <w:szCs w:val="31"/>
          <w:highlight w:val="none"/>
        </w:rPr>
        <w:t>%（含）未超</w:t>
      </w:r>
      <w:r>
        <w:rPr>
          <w:rFonts w:hint="eastAsia" w:ascii="Times New Roman" w:hAnsi="Times New Roman" w:eastAsia="仿宋_GB2312" w:cs="Times New Roman"/>
          <w:color w:val="auto"/>
          <w:spacing w:val="6"/>
          <w:sz w:val="31"/>
          <w:szCs w:val="31"/>
          <w:highlight w:val="none"/>
          <w:lang w:val="en-US" w:eastAsia="zh-CN"/>
        </w:rPr>
        <w:t>过4</w:t>
      </w:r>
      <w:r>
        <w:rPr>
          <w:rFonts w:hint="eastAsia" w:ascii="Times New Roman" w:hAnsi="Times New Roman" w:eastAsia="仿宋_GB2312" w:cs="Times New Roman"/>
          <w:color w:val="auto"/>
          <w:spacing w:val="6"/>
          <w:sz w:val="31"/>
          <w:szCs w:val="31"/>
          <w:highlight w:val="none"/>
        </w:rPr>
        <w:t>0%的，按实际支付利息最高不超过</w:t>
      </w:r>
      <w:r>
        <w:rPr>
          <w:rFonts w:hint="eastAsia" w:ascii="Times New Roman" w:hAnsi="Times New Roman" w:eastAsia="仿宋_GB2312" w:cs="Times New Roman"/>
          <w:color w:val="auto"/>
          <w:spacing w:val="6"/>
          <w:sz w:val="31"/>
          <w:szCs w:val="31"/>
          <w:highlight w:val="none"/>
          <w:lang w:val="en-US" w:eastAsia="zh-CN"/>
        </w:rPr>
        <w:t>2</w:t>
      </w:r>
      <w:r>
        <w:rPr>
          <w:rFonts w:hint="eastAsia" w:ascii="Times New Roman" w:hAnsi="Times New Roman" w:eastAsia="仿宋_GB2312" w:cs="Times New Roman"/>
          <w:color w:val="auto"/>
          <w:spacing w:val="6"/>
          <w:sz w:val="31"/>
          <w:szCs w:val="31"/>
          <w:highlight w:val="none"/>
        </w:rPr>
        <w:t>0%的比例给予贴息</w:t>
      </w:r>
      <w:r>
        <w:rPr>
          <w:rFonts w:hint="eastAsia" w:ascii="Times New Roman" w:hAnsi="Times New Roman" w:eastAsia="仿宋_GB2312" w:cs="Times New Roman"/>
          <w:color w:val="auto"/>
          <w:spacing w:val="6"/>
          <w:sz w:val="31"/>
          <w:szCs w:val="31"/>
          <w:highlight w:val="none"/>
          <w:lang w:eastAsia="zh-CN"/>
        </w:rPr>
        <w:t>，</w:t>
      </w:r>
      <w:r>
        <w:rPr>
          <w:rFonts w:hint="eastAsia" w:ascii="Times New Roman" w:hAnsi="Times New Roman" w:eastAsia="仿宋_GB2312" w:cs="Times New Roman"/>
          <w:color w:val="auto"/>
          <w:spacing w:val="6"/>
          <w:sz w:val="31"/>
          <w:szCs w:val="31"/>
          <w:highlight w:val="none"/>
          <w:lang w:val="en-US" w:eastAsia="zh-CN"/>
        </w:rPr>
        <w:t>最高不超过15万元；</w:t>
      </w:r>
      <w:r>
        <w:rPr>
          <w:rFonts w:hint="eastAsia" w:ascii="Times New Roman" w:hAnsi="Times New Roman" w:eastAsia="仿宋_GB2312" w:cs="Times New Roman"/>
          <w:color w:val="auto"/>
          <w:spacing w:val="6"/>
          <w:sz w:val="31"/>
          <w:szCs w:val="31"/>
          <w:highlight w:val="none"/>
        </w:rPr>
        <w:t>比增超</w:t>
      </w:r>
      <w:r>
        <w:rPr>
          <w:rFonts w:hint="eastAsia" w:ascii="Times New Roman" w:hAnsi="Times New Roman" w:eastAsia="仿宋_GB2312" w:cs="Times New Roman"/>
          <w:color w:val="auto"/>
          <w:spacing w:val="6"/>
          <w:sz w:val="31"/>
          <w:szCs w:val="31"/>
          <w:highlight w:val="none"/>
          <w:lang w:val="en-US" w:eastAsia="zh-CN"/>
        </w:rPr>
        <w:t>过40</w:t>
      </w:r>
      <w:r>
        <w:rPr>
          <w:rFonts w:hint="eastAsia" w:ascii="Times New Roman" w:hAnsi="Times New Roman" w:eastAsia="仿宋_GB2312" w:cs="Times New Roman"/>
          <w:color w:val="auto"/>
          <w:spacing w:val="6"/>
          <w:sz w:val="31"/>
          <w:szCs w:val="31"/>
          <w:highlight w:val="none"/>
        </w:rPr>
        <w:t>%（含）的，按实际支付利息最高不超过</w:t>
      </w:r>
      <w:r>
        <w:rPr>
          <w:rFonts w:hint="eastAsia" w:ascii="Times New Roman" w:hAnsi="Times New Roman" w:eastAsia="仿宋_GB2312" w:cs="Times New Roman"/>
          <w:color w:val="auto"/>
          <w:spacing w:val="6"/>
          <w:sz w:val="31"/>
          <w:szCs w:val="31"/>
          <w:highlight w:val="none"/>
          <w:lang w:val="en-US" w:eastAsia="zh-CN"/>
        </w:rPr>
        <w:t>5</w:t>
      </w:r>
      <w:r>
        <w:rPr>
          <w:rFonts w:hint="eastAsia" w:ascii="Times New Roman" w:hAnsi="Times New Roman" w:eastAsia="仿宋_GB2312" w:cs="Times New Roman"/>
          <w:color w:val="auto"/>
          <w:spacing w:val="6"/>
          <w:sz w:val="31"/>
          <w:szCs w:val="31"/>
          <w:highlight w:val="none"/>
        </w:rPr>
        <w:t>0%的比例给予贴息</w:t>
      </w:r>
      <w:r>
        <w:rPr>
          <w:rFonts w:hint="eastAsia" w:ascii="Times New Roman" w:hAnsi="Times New Roman" w:eastAsia="仿宋_GB2312" w:cs="Times New Roman"/>
          <w:color w:val="auto"/>
          <w:spacing w:val="6"/>
          <w:sz w:val="31"/>
          <w:szCs w:val="31"/>
          <w:highlight w:val="none"/>
          <w:lang w:eastAsia="zh-CN"/>
        </w:rPr>
        <w:t>，</w:t>
      </w:r>
      <w:r>
        <w:rPr>
          <w:rFonts w:hint="eastAsia" w:ascii="Times New Roman" w:hAnsi="Times New Roman" w:eastAsia="仿宋_GB2312" w:cs="Times New Roman"/>
          <w:color w:val="auto"/>
          <w:spacing w:val="6"/>
          <w:sz w:val="31"/>
          <w:szCs w:val="31"/>
          <w:highlight w:val="none"/>
          <w:lang w:val="en-US" w:eastAsia="zh-CN"/>
        </w:rPr>
        <w:t>最高不超过30万元；</w:t>
      </w:r>
    </w:p>
    <w:p>
      <w:pPr>
        <w:spacing w:line="312" w:lineRule="auto"/>
        <w:ind w:firstLine="664"/>
        <w:jc w:val="both"/>
        <w:rPr>
          <w:rFonts w:hint="eastAsia" w:ascii="Times New Roman" w:hAnsi="Times New Roman" w:eastAsia="仿宋_GB2312" w:cs="Times New Roman"/>
          <w:color w:val="auto"/>
          <w:spacing w:val="6"/>
          <w:sz w:val="31"/>
          <w:szCs w:val="31"/>
          <w:highlight w:val="none"/>
          <w:lang w:val="en-US" w:eastAsia="zh-CN"/>
        </w:rPr>
      </w:pPr>
      <w:r>
        <w:rPr>
          <w:rFonts w:hint="eastAsia" w:ascii="Times New Roman" w:hAnsi="Times New Roman" w:eastAsia="仿宋_GB2312" w:cs="Times New Roman"/>
          <w:color w:val="auto"/>
          <w:spacing w:val="6"/>
          <w:kern w:val="0"/>
          <w:sz w:val="32"/>
          <w:szCs w:val="32"/>
          <w:highlight w:val="none"/>
          <w:lang w:val="en-US" w:eastAsia="zh-CN"/>
        </w:rPr>
        <w:t>3.规模</w:t>
      </w:r>
      <w:r>
        <w:rPr>
          <w:rFonts w:hint="eastAsia" w:ascii="Times New Roman" w:hAnsi="Times New Roman" w:eastAsia="仿宋_GB2312" w:cs="Times New Roman"/>
          <w:color w:val="auto"/>
          <w:spacing w:val="6"/>
          <w:sz w:val="31"/>
          <w:szCs w:val="31"/>
          <w:highlight w:val="none"/>
          <w:lang w:val="en-US" w:eastAsia="zh-CN"/>
        </w:rPr>
        <w:t>1亿元（含）至5亿元</w:t>
      </w:r>
      <w:r>
        <w:rPr>
          <w:rFonts w:hint="eastAsia" w:ascii="Times New Roman" w:hAnsi="Times New Roman" w:eastAsia="仿宋_GB2312" w:cs="Times New Roman"/>
          <w:color w:val="auto"/>
          <w:spacing w:val="6"/>
          <w:sz w:val="31"/>
          <w:szCs w:val="31"/>
          <w:highlight w:val="none"/>
        </w:rPr>
        <w:t>企业办理信贷业务后</w:t>
      </w:r>
      <w:r>
        <w:rPr>
          <w:rFonts w:hint="eastAsia" w:ascii="Times New Roman" w:hAnsi="Times New Roman" w:eastAsia="仿宋_GB2312" w:cs="Times New Roman"/>
          <w:color w:val="auto"/>
          <w:spacing w:val="6"/>
          <w:sz w:val="31"/>
          <w:szCs w:val="31"/>
          <w:highlight w:val="none"/>
          <w:lang w:eastAsia="zh-CN"/>
        </w:rPr>
        <w:t>规模</w:t>
      </w:r>
      <w:r>
        <w:rPr>
          <w:rFonts w:hint="eastAsia" w:ascii="Times New Roman" w:hAnsi="Times New Roman" w:eastAsia="仿宋_GB2312" w:cs="Times New Roman"/>
          <w:color w:val="auto"/>
          <w:spacing w:val="6"/>
          <w:sz w:val="31"/>
          <w:szCs w:val="31"/>
          <w:highlight w:val="none"/>
        </w:rPr>
        <w:t>比增超</w:t>
      </w:r>
      <w:r>
        <w:rPr>
          <w:rFonts w:hint="eastAsia" w:ascii="Times New Roman" w:hAnsi="Times New Roman" w:eastAsia="仿宋_GB2312" w:cs="Times New Roman"/>
          <w:color w:val="auto"/>
          <w:spacing w:val="6"/>
          <w:sz w:val="31"/>
          <w:szCs w:val="31"/>
          <w:highlight w:val="none"/>
          <w:lang w:val="en-US" w:eastAsia="zh-CN"/>
        </w:rPr>
        <w:t>过15</w:t>
      </w:r>
      <w:r>
        <w:rPr>
          <w:rFonts w:hint="eastAsia" w:ascii="Times New Roman" w:hAnsi="Times New Roman" w:eastAsia="仿宋_GB2312" w:cs="Times New Roman"/>
          <w:color w:val="auto"/>
          <w:spacing w:val="6"/>
          <w:sz w:val="31"/>
          <w:szCs w:val="31"/>
          <w:highlight w:val="none"/>
        </w:rPr>
        <w:t>%（含）未超</w:t>
      </w:r>
      <w:r>
        <w:rPr>
          <w:rFonts w:hint="eastAsia" w:ascii="Times New Roman" w:hAnsi="Times New Roman" w:eastAsia="仿宋_GB2312" w:cs="Times New Roman"/>
          <w:color w:val="auto"/>
          <w:spacing w:val="6"/>
          <w:sz w:val="31"/>
          <w:szCs w:val="31"/>
          <w:highlight w:val="none"/>
          <w:lang w:val="en-US" w:eastAsia="zh-CN"/>
        </w:rPr>
        <w:t>过3</w:t>
      </w:r>
      <w:r>
        <w:rPr>
          <w:rFonts w:hint="eastAsia" w:ascii="Times New Roman" w:hAnsi="Times New Roman" w:eastAsia="仿宋_GB2312" w:cs="Times New Roman"/>
          <w:color w:val="auto"/>
          <w:spacing w:val="6"/>
          <w:sz w:val="31"/>
          <w:szCs w:val="31"/>
          <w:highlight w:val="none"/>
        </w:rPr>
        <w:t>0%的，按实际支付利息最高不超过</w:t>
      </w:r>
      <w:r>
        <w:rPr>
          <w:rFonts w:hint="eastAsia" w:ascii="Times New Roman" w:hAnsi="Times New Roman" w:eastAsia="仿宋_GB2312" w:cs="Times New Roman"/>
          <w:color w:val="auto"/>
          <w:spacing w:val="6"/>
          <w:sz w:val="31"/>
          <w:szCs w:val="31"/>
          <w:highlight w:val="none"/>
          <w:lang w:val="en-US" w:eastAsia="zh-CN"/>
        </w:rPr>
        <w:t>2</w:t>
      </w:r>
      <w:r>
        <w:rPr>
          <w:rFonts w:hint="eastAsia" w:ascii="Times New Roman" w:hAnsi="Times New Roman" w:eastAsia="仿宋_GB2312" w:cs="Times New Roman"/>
          <w:color w:val="auto"/>
          <w:spacing w:val="6"/>
          <w:sz w:val="31"/>
          <w:szCs w:val="31"/>
          <w:highlight w:val="none"/>
        </w:rPr>
        <w:t>0%的比例给予贴息</w:t>
      </w:r>
      <w:r>
        <w:rPr>
          <w:rFonts w:hint="eastAsia" w:ascii="Times New Roman" w:hAnsi="Times New Roman" w:eastAsia="仿宋_GB2312" w:cs="Times New Roman"/>
          <w:color w:val="auto"/>
          <w:spacing w:val="6"/>
          <w:sz w:val="31"/>
          <w:szCs w:val="31"/>
          <w:highlight w:val="none"/>
          <w:lang w:eastAsia="zh-CN"/>
        </w:rPr>
        <w:t>，</w:t>
      </w:r>
      <w:r>
        <w:rPr>
          <w:rFonts w:hint="eastAsia" w:ascii="Times New Roman" w:hAnsi="Times New Roman" w:eastAsia="仿宋_GB2312" w:cs="Times New Roman"/>
          <w:color w:val="auto"/>
          <w:spacing w:val="6"/>
          <w:sz w:val="31"/>
          <w:szCs w:val="31"/>
          <w:highlight w:val="none"/>
          <w:lang w:val="en-US" w:eastAsia="zh-CN"/>
        </w:rPr>
        <w:t>最高不超过20万元；</w:t>
      </w:r>
      <w:r>
        <w:rPr>
          <w:rFonts w:hint="eastAsia" w:ascii="Times New Roman" w:hAnsi="Times New Roman" w:eastAsia="仿宋_GB2312" w:cs="Times New Roman"/>
          <w:color w:val="auto"/>
          <w:spacing w:val="6"/>
          <w:sz w:val="31"/>
          <w:szCs w:val="31"/>
          <w:highlight w:val="none"/>
        </w:rPr>
        <w:t>比增超</w:t>
      </w:r>
      <w:r>
        <w:rPr>
          <w:rFonts w:hint="eastAsia" w:ascii="Times New Roman" w:hAnsi="Times New Roman" w:eastAsia="仿宋_GB2312" w:cs="Times New Roman"/>
          <w:color w:val="auto"/>
          <w:spacing w:val="6"/>
          <w:sz w:val="31"/>
          <w:szCs w:val="31"/>
          <w:highlight w:val="none"/>
          <w:lang w:val="en-US" w:eastAsia="zh-CN"/>
        </w:rPr>
        <w:t>过30</w:t>
      </w:r>
      <w:r>
        <w:rPr>
          <w:rFonts w:hint="eastAsia" w:ascii="Times New Roman" w:hAnsi="Times New Roman" w:eastAsia="仿宋_GB2312" w:cs="Times New Roman"/>
          <w:color w:val="auto"/>
          <w:spacing w:val="6"/>
          <w:sz w:val="31"/>
          <w:szCs w:val="31"/>
          <w:highlight w:val="none"/>
        </w:rPr>
        <w:t>%（含）的，按实际支付利息最高不超过</w:t>
      </w:r>
      <w:r>
        <w:rPr>
          <w:rFonts w:hint="eastAsia" w:ascii="Times New Roman" w:hAnsi="Times New Roman" w:eastAsia="仿宋_GB2312" w:cs="Times New Roman"/>
          <w:color w:val="auto"/>
          <w:spacing w:val="6"/>
          <w:sz w:val="31"/>
          <w:szCs w:val="31"/>
          <w:highlight w:val="none"/>
          <w:lang w:val="en-US" w:eastAsia="zh-CN"/>
        </w:rPr>
        <w:t>5</w:t>
      </w:r>
      <w:r>
        <w:rPr>
          <w:rFonts w:hint="eastAsia" w:ascii="Times New Roman" w:hAnsi="Times New Roman" w:eastAsia="仿宋_GB2312" w:cs="Times New Roman"/>
          <w:color w:val="auto"/>
          <w:spacing w:val="6"/>
          <w:sz w:val="31"/>
          <w:szCs w:val="31"/>
          <w:highlight w:val="none"/>
        </w:rPr>
        <w:t>0%的比例给予贴息</w:t>
      </w:r>
      <w:r>
        <w:rPr>
          <w:rFonts w:hint="eastAsia" w:ascii="Times New Roman" w:hAnsi="Times New Roman" w:eastAsia="仿宋_GB2312" w:cs="Times New Roman"/>
          <w:color w:val="auto"/>
          <w:spacing w:val="6"/>
          <w:sz w:val="31"/>
          <w:szCs w:val="31"/>
          <w:highlight w:val="none"/>
          <w:lang w:eastAsia="zh-CN"/>
        </w:rPr>
        <w:t>，</w:t>
      </w:r>
      <w:r>
        <w:rPr>
          <w:rFonts w:hint="eastAsia" w:ascii="Times New Roman" w:hAnsi="Times New Roman" w:eastAsia="仿宋_GB2312" w:cs="Times New Roman"/>
          <w:color w:val="auto"/>
          <w:spacing w:val="6"/>
          <w:sz w:val="31"/>
          <w:szCs w:val="31"/>
          <w:highlight w:val="none"/>
          <w:lang w:val="en-US" w:eastAsia="zh-CN"/>
        </w:rPr>
        <w:t>最高不超过45万元；</w:t>
      </w:r>
    </w:p>
    <w:p>
      <w:pPr>
        <w:spacing w:line="312" w:lineRule="auto"/>
        <w:ind w:firstLine="664"/>
        <w:jc w:val="both"/>
        <w:rPr>
          <w:rFonts w:hint="eastAsia" w:ascii="Times New Roman" w:hAnsi="Times New Roman" w:eastAsia="仿宋_GB2312" w:cs="Times New Roman"/>
          <w:color w:val="auto"/>
          <w:spacing w:val="6"/>
          <w:sz w:val="31"/>
          <w:szCs w:val="31"/>
          <w:highlight w:val="none"/>
          <w:lang w:val="en-US" w:eastAsia="zh-CN"/>
        </w:rPr>
      </w:pPr>
      <w:r>
        <w:rPr>
          <w:rFonts w:hint="eastAsia" w:ascii="Times New Roman" w:hAnsi="Times New Roman" w:eastAsia="仿宋_GB2312" w:cs="Times New Roman"/>
          <w:color w:val="auto"/>
          <w:spacing w:val="6"/>
          <w:kern w:val="0"/>
          <w:sz w:val="32"/>
          <w:szCs w:val="32"/>
          <w:highlight w:val="none"/>
          <w:lang w:val="en-US" w:eastAsia="zh-CN"/>
        </w:rPr>
        <w:t>4.规模</w:t>
      </w:r>
      <w:r>
        <w:rPr>
          <w:rFonts w:hint="eastAsia" w:ascii="Times New Roman" w:hAnsi="Times New Roman" w:eastAsia="仿宋_GB2312" w:cs="Times New Roman"/>
          <w:color w:val="auto"/>
          <w:spacing w:val="6"/>
          <w:sz w:val="31"/>
          <w:szCs w:val="31"/>
          <w:highlight w:val="none"/>
          <w:lang w:val="en-US" w:eastAsia="zh-CN"/>
        </w:rPr>
        <w:t>5亿元（含）至10亿元</w:t>
      </w:r>
      <w:r>
        <w:rPr>
          <w:rFonts w:hint="eastAsia" w:ascii="Times New Roman" w:hAnsi="Times New Roman" w:eastAsia="仿宋_GB2312" w:cs="Times New Roman"/>
          <w:color w:val="auto"/>
          <w:spacing w:val="6"/>
          <w:sz w:val="31"/>
          <w:szCs w:val="31"/>
          <w:highlight w:val="none"/>
        </w:rPr>
        <w:t>企业办理信贷业务后</w:t>
      </w:r>
      <w:r>
        <w:rPr>
          <w:rFonts w:hint="eastAsia" w:ascii="Times New Roman" w:hAnsi="Times New Roman" w:eastAsia="仿宋_GB2312" w:cs="Times New Roman"/>
          <w:color w:val="auto"/>
          <w:spacing w:val="6"/>
          <w:sz w:val="31"/>
          <w:szCs w:val="31"/>
          <w:highlight w:val="none"/>
          <w:lang w:eastAsia="zh-CN"/>
        </w:rPr>
        <w:t>规模</w:t>
      </w:r>
      <w:r>
        <w:rPr>
          <w:rFonts w:hint="eastAsia" w:ascii="Times New Roman" w:hAnsi="Times New Roman" w:eastAsia="仿宋_GB2312" w:cs="Times New Roman"/>
          <w:color w:val="auto"/>
          <w:spacing w:val="6"/>
          <w:sz w:val="31"/>
          <w:szCs w:val="31"/>
          <w:highlight w:val="none"/>
        </w:rPr>
        <w:t>比增超</w:t>
      </w:r>
      <w:r>
        <w:rPr>
          <w:rFonts w:hint="eastAsia" w:ascii="Times New Roman" w:hAnsi="Times New Roman" w:eastAsia="仿宋_GB2312" w:cs="Times New Roman"/>
          <w:color w:val="auto"/>
          <w:spacing w:val="6"/>
          <w:sz w:val="31"/>
          <w:szCs w:val="31"/>
          <w:highlight w:val="none"/>
          <w:lang w:val="en-US" w:eastAsia="zh-CN"/>
        </w:rPr>
        <w:t>过8</w:t>
      </w:r>
      <w:r>
        <w:rPr>
          <w:rFonts w:hint="eastAsia" w:ascii="Times New Roman" w:hAnsi="Times New Roman" w:eastAsia="仿宋_GB2312" w:cs="Times New Roman"/>
          <w:color w:val="auto"/>
          <w:spacing w:val="6"/>
          <w:sz w:val="31"/>
          <w:szCs w:val="31"/>
          <w:highlight w:val="none"/>
        </w:rPr>
        <w:t>%（含）未超</w:t>
      </w:r>
      <w:r>
        <w:rPr>
          <w:rFonts w:hint="eastAsia" w:ascii="Times New Roman" w:hAnsi="Times New Roman" w:eastAsia="仿宋_GB2312" w:cs="Times New Roman"/>
          <w:color w:val="auto"/>
          <w:spacing w:val="6"/>
          <w:sz w:val="31"/>
          <w:szCs w:val="31"/>
          <w:highlight w:val="none"/>
          <w:lang w:val="en-US" w:eastAsia="zh-CN"/>
        </w:rPr>
        <w:t>过12</w:t>
      </w:r>
      <w:r>
        <w:rPr>
          <w:rFonts w:hint="eastAsia" w:ascii="Times New Roman" w:hAnsi="Times New Roman" w:eastAsia="仿宋_GB2312" w:cs="Times New Roman"/>
          <w:color w:val="auto"/>
          <w:spacing w:val="6"/>
          <w:sz w:val="31"/>
          <w:szCs w:val="31"/>
          <w:highlight w:val="none"/>
        </w:rPr>
        <w:t>%的，按实际支付利息最高不超过</w:t>
      </w:r>
      <w:r>
        <w:rPr>
          <w:rFonts w:hint="eastAsia" w:ascii="Times New Roman" w:hAnsi="Times New Roman" w:eastAsia="仿宋_GB2312" w:cs="Times New Roman"/>
          <w:color w:val="auto"/>
          <w:spacing w:val="6"/>
          <w:sz w:val="31"/>
          <w:szCs w:val="31"/>
          <w:highlight w:val="none"/>
          <w:lang w:val="en-US" w:eastAsia="zh-CN"/>
        </w:rPr>
        <w:t>2</w:t>
      </w:r>
      <w:r>
        <w:rPr>
          <w:rFonts w:hint="eastAsia" w:ascii="Times New Roman" w:hAnsi="Times New Roman" w:eastAsia="仿宋_GB2312" w:cs="Times New Roman"/>
          <w:color w:val="auto"/>
          <w:spacing w:val="6"/>
          <w:sz w:val="31"/>
          <w:szCs w:val="31"/>
          <w:highlight w:val="none"/>
        </w:rPr>
        <w:t>0%的比例给予贴息</w:t>
      </w:r>
      <w:r>
        <w:rPr>
          <w:rFonts w:hint="eastAsia" w:ascii="Times New Roman" w:hAnsi="Times New Roman" w:eastAsia="仿宋_GB2312" w:cs="Times New Roman"/>
          <w:color w:val="auto"/>
          <w:spacing w:val="6"/>
          <w:sz w:val="31"/>
          <w:szCs w:val="31"/>
          <w:highlight w:val="none"/>
          <w:lang w:eastAsia="zh-CN"/>
        </w:rPr>
        <w:t>，</w:t>
      </w:r>
      <w:r>
        <w:rPr>
          <w:rFonts w:hint="eastAsia" w:ascii="Times New Roman" w:hAnsi="Times New Roman" w:eastAsia="仿宋_GB2312" w:cs="Times New Roman"/>
          <w:color w:val="auto"/>
          <w:spacing w:val="6"/>
          <w:sz w:val="31"/>
          <w:szCs w:val="31"/>
          <w:highlight w:val="none"/>
          <w:lang w:val="en-US" w:eastAsia="zh-CN"/>
        </w:rPr>
        <w:t>最高不超过25万元；</w:t>
      </w:r>
      <w:r>
        <w:rPr>
          <w:rFonts w:hint="eastAsia" w:ascii="Times New Roman" w:hAnsi="Times New Roman" w:eastAsia="仿宋_GB2312" w:cs="Times New Roman"/>
          <w:color w:val="auto"/>
          <w:spacing w:val="6"/>
          <w:sz w:val="31"/>
          <w:szCs w:val="31"/>
          <w:highlight w:val="none"/>
        </w:rPr>
        <w:t>比增超</w:t>
      </w:r>
      <w:r>
        <w:rPr>
          <w:rFonts w:hint="eastAsia" w:ascii="Times New Roman" w:hAnsi="Times New Roman" w:eastAsia="仿宋_GB2312" w:cs="Times New Roman"/>
          <w:color w:val="auto"/>
          <w:spacing w:val="6"/>
          <w:sz w:val="31"/>
          <w:szCs w:val="31"/>
          <w:highlight w:val="none"/>
          <w:lang w:val="en-US" w:eastAsia="zh-CN"/>
        </w:rPr>
        <w:t>过50</w:t>
      </w:r>
      <w:r>
        <w:rPr>
          <w:rFonts w:hint="eastAsia" w:ascii="Times New Roman" w:hAnsi="Times New Roman" w:eastAsia="仿宋_GB2312" w:cs="Times New Roman"/>
          <w:color w:val="auto"/>
          <w:spacing w:val="6"/>
          <w:sz w:val="31"/>
          <w:szCs w:val="31"/>
          <w:highlight w:val="none"/>
        </w:rPr>
        <w:t>%（含）的，按实际支付利息最高不超过</w:t>
      </w:r>
      <w:r>
        <w:rPr>
          <w:rFonts w:hint="eastAsia" w:ascii="Times New Roman" w:hAnsi="Times New Roman" w:eastAsia="仿宋_GB2312" w:cs="Times New Roman"/>
          <w:color w:val="auto"/>
          <w:spacing w:val="6"/>
          <w:sz w:val="31"/>
          <w:szCs w:val="31"/>
          <w:highlight w:val="none"/>
          <w:lang w:val="en-US" w:eastAsia="zh-CN"/>
        </w:rPr>
        <w:t>5</w:t>
      </w:r>
      <w:r>
        <w:rPr>
          <w:rFonts w:hint="eastAsia" w:ascii="Times New Roman" w:hAnsi="Times New Roman" w:eastAsia="仿宋_GB2312" w:cs="Times New Roman"/>
          <w:color w:val="auto"/>
          <w:spacing w:val="6"/>
          <w:sz w:val="31"/>
          <w:szCs w:val="31"/>
          <w:highlight w:val="none"/>
        </w:rPr>
        <w:t>0%的比例给予贴息</w:t>
      </w:r>
      <w:r>
        <w:rPr>
          <w:rFonts w:hint="eastAsia" w:ascii="Times New Roman" w:hAnsi="Times New Roman" w:eastAsia="仿宋_GB2312" w:cs="Times New Roman"/>
          <w:color w:val="auto"/>
          <w:spacing w:val="6"/>
          <w:sz w:val="31"/>
          <w:szCs w:val="31"/>
          <w:highlight w:val="none"/>
          <w:lang w:eastAsia="zh-CN"/>
        </w:rPr>
        <w:t>，</w:t>
      </w:r>
      <w:r>
        <w:rPr>
          <w:rFonts w:hint="eastAsia" w:ascii="Times New Roman" w:hAnsi="Times New Roman" w:eastAsia="仿宋_GB2312" w:cs="Times New Roman"/>
          <w:color w:val="auto"/>
          <w:spacing w:val="6"/>
          <w:sz w:val="31"/>
          <w:szCs w:val="31"/>
          <w:highlight w:val="none"/>
          <w:lang w:val="en-US" w:eastAsia="zh-CN"/>
        </w:rPr>
        <w:t>最高不超过60万元。</w:t>
      </w:r>
    </w:p>
    <w:p>
      <w:pPr>
        <w:spacing w:line="312" w:lineRule="auto"/>
        <w:ind w:firstLine="664"/>
        <w:jc w:val="both"/>
        <w:rPr>
          <w:rFonts w:hint="eastAsia" w:ascii="Times New Roman" w:hAnsi="Times New Roman" w:eastAsia="仿宋_GB2312" w:cs="Times New Roman"/>
          <w:color w:val="auto"/>
          <w:spacing w:val="6"/>
          <w:sz w:val="31"/>
          <w:szCs w:val="31"/>
          <w:highlight w:val="none"/>
        </w:rPr>
      </w:pPr>
      <w:r>
        <w:rPr>
          <w:rFonts w:hint="eastAsia" w:ascii="Times New Roman" w:hAnsi="Times New Roman" w:eastAsia="仿宋_GB2312" w:cs="Times New Roman"/>
          <w:color w:val="auto"/>
          <w:spacing w:val="6"/>
          <w:sz w:val="31"/>
          <w:szCs w:val="31"/>
          <w:highlight w:val="none"/>
        </w:rPr>
        <w:t>具体如下表所示：</w:t>
      </w:r>
    </w:p>
    <w:tbl>
      <w:tblPr>
        <w:tblStyle w:val="7"/>
        <w:tblW w:w="8681"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1215"/>
        <w:gridCol w:w="1200"/>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r>
              <w:rPr>
                <w:rFonts w:hint="eastAsia" w:ascii="仿宋_GB2312" w:hAnsi="仿宋_GB2312" w:eastAsia="仿宋_GB2312" w:cs="仿宋_GB2312"/>
                <w:b/>
                <w:bCs/>
                <w:color w:val="auto"/>
                <w:kern w:val="0"/>
                <w:sz w:val="22"/>
                <w:highlight w:val="none"/>
              </w:rPr>
              <w:t>企业规模</w:t>
            </w:r>
          </w:p>
        </w:tc>
        <w:tc>
          <w:tcPr>
            <w:tcW w:w="1215" w:type="dxa"/>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r>
              <w:rPr>
                <w:rFonts w:hint="eastAsia" w:ascii="仿宋_GB2312" w:hAnsi="仿宋_GB2312" w:eastAsia="仿宋_GB2312" w:cs="仿宋_GB2312"/>
                <w:b/>
                <w:bCs/>
                <w:color w:val="auto"/>
                <w:kern w:val="0"/>
                <w:sz w:val="22"/>
                <w:highlight w:val="none"/>
              </w:rPr>
              <w:t>入池增速  （最低）</w:t>
            </w:r>
          </w:p>
        </w:tc>
        <w:tc>
          <w:tcPr>
            <w:tcW w:w="1200" w:type="dxa"/>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r>
              <w:rPr>
                <w:rFonts w:hint="eastAsia" w:ascii="仿宋_GB2312" w:hAnsi="仿宋_GB2312" w:eastAsia="仿宋_GB2312" w:cs="仿宋_GB2312"/>
                <w:b/>
                <w:bCs/>
                <w:color w:val="auto"/>
                <w:kern w:val="0"/>
                <w:sz w:val="22"/>
                <w:highlight w:val="none"/>
              </w:rPr>
              <w:t>续贷增速  （最低）</w:t>
            </w:r>
          </w:p>
        </w:tc>
        <w:tc>
          <w:tcPr>
            <w:tcW w:w="1217" w:type="dxa"/>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r>
              <w:rPr>
                <w:rFonts w:hint="eastAsia" w:ascii="仿宋_GB2312" w:hAnsi="仿宋_GB2312" w:eastAsia="仿宋_GB2312" w:cs="仿宋_GB2312"/>
                <w:b/>
                <w:bCs/>
                <w:color w:val="auto"/>
                <w:kern w:val="0"/>
                <w:sz w:val="22"/>
                <w:highlight w:val="none"/>
              </w:rPr>
              <w:t>贷款规模  （最高）</w:t>
            </w:r>
          </w:p>
        </w:tc>
        <w:tc>
          <w:tcPr>
            <w:tcW w:w="1218" w:type="dxa"/>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r>
              <w:rPr>
                <w:rFonts w:hint="eastAsia" w:ascii="仿宋_GB2312" w:hAnsi="仿宋_GB2312" w:eastAsia="仿宋_GB2312" w:cs="仿宋_GB2312"/>
                <w:b/>
                <w:bCs/>
                <w:color w:val="auto"/>
                <w:kern w:val="0"/>
                <w:sz w:val="22"/>
                <w:highlight w:val="none"/>
              </w:rPr>
              <w:t>贴息增速   （最低）</w:t>
            </w:r>
          </w:p>
        </w:tc>
        <w:tc>
          <w:tcPr>
            <w:tcW w:w="1218" w:type="dxa"/>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r>
              <w:rPr>
                <w:rFonts w:hint="eastAsia" w:ascii="仿宋_GB2312" w:hAnsi="仿宋_GB2312" w:eastAsia="仿宋_GB2312" w:cs="仿宋_GB2312"/>
                <w:b/>
                <w:bCs/>
                <w:color w:val="auto"/>
                <w:kern w:val="0"/>
                <w:sz w:val="22"/>
                <w:highlight w:val="none"/>
              </w:rPr>
              <w:t>贴息比例  （最高）</w:t>
            </w:r>
          </w:p>
        </w:tc>
        <w:tc>
          <w:tcPr>
            <w:tcW w:w="1218" w:type="dxa"/>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r>
              <w:rPr>
                <w:rFonts w:hint="eastAsia" w:ascii="仿宋_GB2312" w:hAnsi="仿宋_GB2312" w:eastAsia="仿宋_GB2312" w:cs="仿宋_GB2312"/>
                <w:b/>
                <w:bCs/>
                <w:color w:val="auto"/>
                <w:kern w:val="0"/>
                <w:sz w:val="22"/>
                <w:highlight w:val="none"/>
              </w:rPr>
              <w:t>贴息金额  （最高）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vMerge w:val="restart"/>
            <w:vAlign w:val="center"/>
          </w:tcPr>
          <w:p>
            <w:pPr>
              <w:widowControl/>
              <w:jc w:val="center"/>
              <w:rPr>
                <w:rFonts w:hint="eastAsia" w:ascii="仿宋_GB2312" w:hAnsi="仿宋_GB2312" w:eastAsia="仿宋_GB2312" w:cs="仿宋_GB2312"/>
                <w:color w:val="auto"/>
                <w:spacing w:val="6"/>
                <w:sz w:val="31"/>
                <w:szCs w:val="31"/>
                <w:highlight w:val="none"/>
                <w:vertAlign w:val="baseline"/>
                <w:lang w:eastAsia="zh-CN"/>
              </w:rPr>
            </w:pPr>
            <w:r>
              <w:rPr>
                <w:rFonts w:hint="eastAsia" w:ascii="仿宋_GB2312" w:hAnsi="仿宋_GB2312" w:eastAsia="仿宋_GB2312" w:cs="仿宋_GB2312"/>
                <w:color w:val="auto"/>
                <w:kern w:val="0"/>
                <w:sz w:val="22"/>
                <w:highlight w:val="none"/>
              </w:rPr>
              <w:t>5000万</w:t>
            </w:r>
            <w:r>
              <w:rPr>
                <w:rFonts w:hint="eastAsia" w:ascii="仿宋_GB2312" w:hAnsi="仿宋_GB2312" w:eastAsia="仿宋_GB2312" w:cs="仿宋_GB2312"/>
                <w:color w:val="auto"/>
                <w:kern w:val="0"/>
                <w:sz w:val="22"/>
                <w:highlight w:val="none"/>
                <w:lang w:val="en-US" w:eastAsia="zh-CN"/>
              </w:rPr>
              <w:t>元</w:t>
            </w:r>
            <w:r>
              <w:rPr>
                <w:rFonts w:hint="eastAsia" w:ascii="仿宋_GB2312" w:hAnsi="仿宋_GB2312" w:eastAsia="仿宋_GB2312" w:cs="仿宋_GB2312"/>
                <w:color w:val="auto"/>
                <w:kern w:val="0"/>
                <w:sz w:val="22"/>
                <w:highlight w:val="none"/>
              </w:rPr>
              <w:t>以下</w:t>
            </w:r>
            <w:r>
              <w:rPr>
                <w:rFonts w:hint="eastAsia" w:ascii="仿宋_GB2312" w:hAnsi="仿宋_GB2312" w:eastAsia="仿宋_GB2312" w:cs="仿宋_GB2312"/>
                <w:color w:val="auto"/>
                <w:kern w:val="0"/>
                <w:sz w:val="22"/>
                <w:highlight w:val="none"/>
                <w:lang w:eastAsia="zh-CN"/>
              </w:rPr>
              <w:t>（</w:t>
            </w:r>
            <w:r>
              <w:rPr>
                <w:rFonts w:hint="eastAsia" w:ascii="仿宋_GB2312" w:hAnsi="仿宋_GB2312" w:eastAsia="仿宋_GB2312" w:cs="仿宋_GB2312"/>
                <w:color w:val="auto"/>
                <w:kern w:val="0"/>
                <w:sz w:val="22"/>
                <w:highlight w:val="none"/>
                <w:lang w:val="en-US" w:eastAsia="zh-CN"/>
              </w:rPr>
              <w:t>仅限工业企业</w:t>
            </w:r>
            <w:r>
              <w:rPr>
                <w:rFonts w:hint="eastAsia" w:ascii="仿宋_GB2312" w:hAnsi="仿宋_GB2312" w:eastAsia="仿宋_GB2312" w:cs="仿宋_GB2312"/>
                <w:color w:val="auto"/>
                <w:kern w:val="0"/>
                <w:sz w:val="22"/>
                <w:highlight w:val="none"/>
                <w:lang w:eastAsia="zh-CN"/>
              </w:rPr>
              <w:t>）</w:t>
            </w:r>
          </w:p>
        </w:tc>
        <w:tc>
          <w:tcPr>
            <w:tcW w:w="1215" w:type="dxa"/>
            <w:vMerge w:val="restart"/>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r>
              <w:rPr>
                <w:rFonts w:hint="eastAsia" w:ascii="仿宋_GB2312" w:hAnsi="仿宋_GB2312" w:eastAsia="仿宋_GB2312" w:cs="仿宋_GB2312"/>
                <w:color w:val="auto"/>
                <w:kern w:val="0"/>
                <w:sz w:val="22"/>
                <w:highlight w:val="none"/>
              </w:rPr>
              <w:t>20%</w:t>
            </w:r>
          </w:p>
        </w:tc>
        <w:tc>
          <w:tcPr>
            <w:tcW w:w="1200" w:type="dxa"/>
            <w:vMerge w:val="restart"/>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r>
              <w:rPr>
                <w:rFonts w:hint="eastAsia" w:ascii="仿宋_GB2312" w:hAnsi="仿宋_GB2312" w:eastAsia="仿宋_GB2312" w:cs="仿宋_GB2312"/>
                <w:color w:val="auto"/>
                <w:kern w:val="0"/>
                <w:sz w:val="22"/>
                <w:highlight w:val="none"/>
              </w:rPr>
              <w:t>20%</w:t>
            </w:r>
          </w:p>
        </w:tc>
        <w:tc>
          <w:tcPr>
            <w:tcW w:w="1217" w:type="dxa"/>
            <w:vMerge w:val="restart"/>
            <w:vAlign w:val="center"/>
          </w:tcPr>
          <w:p>
            <w:pPr>
              <w:widowControl/>
              <w:jc w:val="center"/>
              <w:rPr>
                <w:rFonts w:hint="eastAsia" w:ascii="仿宋_GB2312" w:hAnsi="仿宋_GB2312" w:eastAsia="仿宋_GB2312" w:cs="仿宋_GB2312"/>
                <w:color w:val="auto"/>
                <w:spacing w:val="6"/>
                <w:sz w:val="31"/>
                <w:szCs w:val="31"/>
                <w:highlight w:val="none"/>
                <w:vertAlign w:val="baseline"/>
                <w:lang w:val="en-US" w:eastAsia="zh-CN"/>
              </w:rPr>
            </w:pPr>
            <w:r>
              <w:rPr>
                <w:rFonts w:hint="eastAsia" w:ascii="仿宋_GB2312" w:hAnsi="仿宋_GB2312" w:eastAsia="仿宋_GB2312" w:cs="仿宋_GB2312"/>
                <w:color w:val="auto"/>
                <w:kern w:val="0"/>
                <w:sz w:val="22"/>
                <w:highlight w:val="none"/>
              </w:rPr>
              <w:t>500万</w:t>
            </w:r>
            <w:r>
              <w:rPr>
                <w:rFonts w:hint="eastAsia" w:ascii="仿宋_GB2312" w:hAnsi="仿宋_GB2312" w:eastAsia="仿宋_GB2312" w:cs="仿宋_GB2312"/>
                <w:color w:val="auto"/>
                <w:kern w:val="0"/>
                <w:sz w:val="22"/>
                <w:highlight w:val="none"/>
                <w:lang w:val="en-US" w:eastAsia="zh-CN"/>
              </w:rPr>
              <w:t>元</w:t>
            </w:r>
          </w:p>
        </w:tc>
        <w:tc>
          <w:tcPr>
            <w:tcW w:w="1218" w:type="dxa"/>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r>
              <w:rPr>
                <w:rFonts w:hint="eastAsia" w:ascii="仿宋_GB2312" w:hAnsi="仿宋_GB2312" w:eastAsia="仿宋_GB2312" w:cs="仿宋_GB2312"/>
                <w:color w:val="auto"/>
                <w:kern w:val="0"/>
                <w:sz w:val="22"/>
                <w:highlight w:val="none"/>
              </w:rPr>
              <w:t>25%</w:t>
            </w:r>
          </w:p>
        </w:tc>
        <w:tc>
          <w:tcPr>
            <w:tcW w:w="1218" w:type="dxa"/>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r>
              <w:rPr>
                <w:rFonts w:hint="eastAsia" w:ascii="仿宋_GB2312" w:hAnsi="仿宋_GB2312" w:eastAsia="仿宋_GB2312" w:cs="仿宋_GB2312"/>
                <w:color w:val="auto"/>
                <w:kern w:val="0"/>
                <w:sz w:val="22"/>
                <w:highlight w:val="none"/>
              </w:rPr>
              <w:t>20%</w:t>
            </w:r>
          </w:p>
        </w:tc>
        <w:tc>
          <w:tcPr>
            <w:tcW w:w="1218" w:type="dxa"/>
            <w:vAlign w:val="center"/>
          </w:tcPr>
          <w:p>
            <w:pPr>
              <w:widowControl/>
              <w:jc w:val="center"/>
              <w:rPr>
                <w:rFonts w:hint="eastAsia" w:ascii="仿宋_GB2312" w:hAnsi="仿宋_GB2312" w:eastAsia="仿宋_GB2312" w:cs="仿宋_GB2312"/>
                <w:color w:val="auto"/>
                <w:spacing w:val="6"/>
                <w:sz w:val="31"/>
                <w:szCs w:val="31"/>
                <w:highlight w:val="none"/>
                <w:vertAlign w:val="baseline"/>
                <w:lang w:val="en-US" w:eastAsia="zh-CN"/>
              </w:rPr>
            </w:pPr>
            <w:r>
              <w:rPr>
                <w:rFonts w:hint="eastAsia" w:ascii="仿宋_GB2312" w:hAnsi="仿宋_GB2312" w:eastAsia="仿宋_GB2312" w:cs="仿宋_GB2312"/>
                <w:color w:val="auto"/>
                <w:kern w:val="0"/>
                <w:sz w:val="22"/>
                <w:highlight w:val="none"/>
                <w:lang w:val="en-US" w:eastAsia="zh-CN"/>
              </w:rPr>
              <w:t>6</w:t>
            </w:r>
            <w:r>
              <w:rPr>
                <w:rFonts w:hint="eastAsia" w:ascii="仿宋_GB2312" w:hAnsi="仿宋_GB2312" w:eastAsia="仿宋_GB2312" w:cs="仿宋_GB2312"/>
                <w:color w:val="auto"/>
                <w:kern w:val="0"/>
                <w:sz w:val="22"/>
                <w:highlight w:val="none"/>
              </w:rPr>
              <w:t>万</w:t>
            </w:r>
            <w:r>
              <w:rPr>
                <w:rFonts w:hint="eastAsia" w:ascii="仿宋_GB2312" w:hAnsi="仿宋_GB2312" w:eastAsia="仿宋_GB2312" w:cs="仿宋_GB2312"/>
                <w:color w:val="auto"/>
                <w:kern w:val="0"/>
                <w:sz w:val="22"/>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vMerge w:val="continue"/>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p>
        </w:tc>
        <w:tc>
          <w:tcPr>
            <w:tcW w:w="1215" w:type="dxa"/>
            <w:vMerge w:val="continue"/>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p>
        </w:tc>
        <w:tc>
          <w:tcPr>
            <w:tcW w:w="1200" w:type="dxa"/>
            <w:vMerge w:val="continue"/>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p>
        </w:tc>
        <w:tc>
          <w:tcPr>
            <w:tcW w:w="1217" w:type="dxa"/>
            <w:vMerge w:val="continue"/>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p>
        </w:tc>
        <w:tc>
          <w:tcPr>
            <w:tcW w:w="1218" w:type="dxa"/>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r>
              <w:rPr>
                <w:rFonts w:hint="eastAsia" w:ascii="仿宋_GB2312" w:hAnsi="仿宋_GB2312" w:eastAsia="仿宋_GB2312" w:cs="仿宋_GB2312"/>
                <w:color w:val="auto"/>
                <w:kern w:val="0"/>
                <w:sz w:val="22"/>
                <w:highlight w:val="none"/>
              </w:rPr>
              <w:t>50%</w:t>
            </w:r>
          </w:p>
        </w:tc>
        <w:tc>
          <w:tcPr>
            <w:tcW w:w="1218" w:type="dxa"/>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r>
              <w:rPr>
                <w:rFonts w:hint="eastAsia" w:ascii="仿宋_GB2312" w:hAnsi="仿宋_GB2312" w:eastAsia="仿宋_GB2312" w:cs="仿宋_GB2312"/>
                <w:color w:val="auto"/>
                <w:kern w:val="0"/>
                <w:sz w:val="22"/>
                <w:highlight w:val="none"/>
              </w:rPr>
              <w:t>50%</w:t>
            </w:r>
          </w:p>
        </w:tc>
        <w:tc>
          <w:tcPr>
            <w:tcW w:w="1218" w:type="dxa"/>
            <w:vAlign w:val="center"/>
          </w:tcPr>
          <w:p>
            <w:pPr>
              <w:widowControl/>
              <w:jc w:val="center"/>
              <w:rPr>
                <w:rFonts w:hint="eastAsia" w:ascii="仿宋_GB2312" w:hAnsi="仿宋_GB2312" w:eastAsia="仿宋_GB2312" w:cs="仿宋_GB2312"/>
                <w:color w:val="auto"/>
                <w:spacing w:val="6"/>
                <w:sz w:val="31"/>
                <w:szCs w:val="31"/>
                <w:highlight w:val="none"/>
                <w:vertAlign w:val="baseline"/>
                <w:lang w:val="en-US" w:eastAsia="zh-CN"/>
              </w:rPr>
            </w:pPr>
            <w:r>
              <w:rPr>
                <w:rFonts w:hint="eastAsia" w:ascii="仿宋_GB2312" w:hAnsi="仿宋_GB2312" w:eastAsia="仿宋_GB2312" w:cs="仿宋_GB2312"/>
                <w:color w:val="auto"/>
                <w:kern w:val="0"/>
                <w:sz w:val="22"/>
                <w:highlight w:val="none"/>
              </w:rPr>
              <w:t>1</w:t>
            </w:r>
            <w:r>
              <w:rPr>
                <w:rFonts w:hint="eastAsia" w:ascii="仿宋_GB2312" w:hAnsi="仿宋_GB2312" w:eastAsia="仿宋_GB2312" w:cs="仿宋_GB2312"/>
                <w:color w:val="auto"/>
                <w:kern w:val="0"/>
                <w:sz w:val="22"/>
                <w:highlight w:val="none"/>
                <w:lang w:val="en-US" w:eastAsia="zh-CN"/>
              </w:rPr>
              <w:t>5</w:t>
            </w:r>
            <w:r>
              <w:rPr>
                <w:rFonts w:hint="eastAsia" w:ascii="仿宋_GB2312" w:hAnsi="仿宋_GB2312" w:eastAsia="仿宋_GB2312" w:cs="仿宋_GB2312"/>
                <w:color w:val="auto"/>
                <w:kern w:val="0"/>
                <w:sz w:val="22"/>
                <w:highlight w:val="none"/>
              </w:rPr>
              <w:t>万</w:t>
            </w:r>
            <w:r>
              <w:rPr>
                <w:rFonts w:hint="eastAsia" w:ascii="仿宋_GB2312" w:hAnsi="仿宋_GB2312" w:eastAsia="仿宋_GB2312" w:cs="仿宋_GB2312"/>
                <w:color w:val="auto"/>
                <w:kern w:val="0"/>
                <w:sz w:val="22"/>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395" w:type="dxa"/>
            <w:vMerge w:val="restart"/>
            <w:vAlign w:val="center"/>
          </w:tcPr>
          <w:p>
            <w:pPr>
              <w:widowControl/>
              <w:jc w:val="center"/>
              <w:rPr>
                <w:rFonts w:hint="eastAsia" w:ascii="仿宋_GB2312" w:hAnsi="仿宋_GB2312" w:eastAsia="仿宋_GB2312" w:cs="仿宋_GB2312"/>
                <w:color w:val="auto"/>
                <w:spacing w:val="6"/>
                <w:sz w:val="31"/>
                <w:szCs w:val="31"/>
                <w:highlight w:val="none"/>
                <w:vertAlign w:val="baseline"/>
                <w:lang w:val="en-US" w:eastAsia="zh-CN"/>
              </w:rPr>
            </w:pPr>
            <w:r>
              <w:rPr>
                <w:rFonts w:hint="eastAsia" w:ascii="仿宋_GB2312" w:hAnsi="仿宋_GB2312" w:eastAsia="仿宋_GB2312" w:cs="仿宋_GB2312"/>
                <w:color w:val="auto"/>
                <w:kern w:val="0"/>
                <w:sz w:val="22"/>
                <w:highlight w:val="none"/>
              </w:rPr>
              <w:t>5000万</w:t>
            </w:r>
            <w:r>
              <w:rPr>
                <w:rFonts w:hint="eastAsia" w:ascii="仿宋_GB2312" w:hAnsi="仿宋_GB2312" w:eastAsia="仿宋_GB2312" w:cs="仿宋_GB2312"/>
                <w:color w:val="auto"/>
                <w:kern w:val="0"/>
                <w:sz w:val="22"/>
                <w:highlight w:val="none"/>
                <w:lang w:val="en-US" w:eastAsia="zh-CN"/>
              </w:rPr>
              <w:t>元（含）</w:t>
            </w:r>
            <w:r>
              <w:rPr>
                <w:rFonts w:hint="eastAsia" w:ascii="仿宋_GB2312" w:hAnsi="仿宋_GB2312" w:eastAsia="仿宋_GB2312" w:cs="仿宋_GB2312"/>
                <w:color w:val="auto"/>
                <w:kern w:val="0"/>
                <w:sz w:val="22"/>
                <w:highlight w:val="none"/>
              </w:rPr>
              <w:t>--1亿</w:t>
            </w:r>
            <w:r>
              <w:rPr>
                <w:rFonts w:hint="eastAsia" w:ascii="仿宋_GB2312" w:hAnsi="仿宋_GB2312" w:eastAsia="仿宋_GB2312" w:cs="仿宋_GB2312"/>
                <w:color w:val="auto"/>
                <w:kern w:val="0"/>
                <w:sz w:val="22"/>
                <w:highlight w:val="none"/>
                <w:lang w:val="en-US" w:eastAsia="zh-CN"/>
              </w:rPr>
              <w:t>元</w:t>
            </w:r>
          </w:p>
        </w:tc>
        <w:tc>
          <w:tcPr>
            <w:tcW w:w="1215" w:type="dxa"/>
            <w:vMerge w:val="restart"/>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r>
              <w:rPr>
                <w:rFonts w:hint="eastAsia" w:ascii="仿宋_GB2312" w:hAnsi="仿宋_GB2312" w:eastAsia="仿宋_GB2312" w:cs="仿宋_GB2312"/>
                <w:color w:val="auto"/>
                <w:kern w:val="0"/>
                <w:sz w:val="22"/>
                <w:highlight w:val="none"/>
              </w:rPr>
              <w:t>15%</w:t>
            </w:r>
          </w:p>
        </w:tc>
        <w:tc>
          <w:tcPr>
            <w:tcW w:w="1200" w:type="dxa"/>
            <w:vMerge w:val="restart"/>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r>
              <w:rPr>
                <w:rFonts w:hint="eastAsia" w:ascii="仿宋_GB2312" w:hAnsi="仿宋_GB2312" w:eastAsia="仿宋_GB2312" w:cs="仿宋_GB2312"/>
                <w:color w:val="auto"/>
                <w:kern w:val="0"/>
                <w:sz w:val="22"/>
                <w:highlight w:val="none"/>
              </w:rPr>
              <w:t>15%</w:t>
            </w:r>
          </w:p>
        </w:tc>
        <w:tc>
          <w:tcPr>
            <w:tcW w:w="1217" w:type="dxa"/>
            <w:vMerge w:val="restart"/>
            <w:vAlign w:val="center"/>
          </w:tcPr>
          <w:p>
            <w:pPr>
              <w:widowControl/>
              <w:jc w:val="center"/>
              <w:rPr>
                <w:rFonts w:hint="eastAsia" w:ascii="仿宋_GB2312" w:hAnsi="仿宋_GB2312" w:eastAsia="仿宋_GB2312" w:cs="仿宋_GB2312"/>
                <w:color w:val="auto"/>
                <w:spacing w:val="6"/>
                <w:sz w:val="31"/>
                <w:szCs w:val="31"/>
                <w:highlight w:val="none"/>
                <w:vertAlign w:val="baseline"/>
                <w:lang w:val="en-US" w:eastAsia="zh-CN"/>
              </w:rPr>
            </w:pPr>
            <w:r>
              <w:rPr>
                <w:rFonts w:hint="eastAsia" w:ascii="仿宋_GB2312" w:hAnsi="仿宋_GB2312" w:eastAsia="仿宋_GB2312" w:cs="仿宋_GB2312"/>
                <w:color w:val="auto"/>
                <w:kern w:val="0"/>
                <w:sz w:val="22"/>
                <w:highlight w:val="none"/>
              </w:rPr>
              <w:t>1000万</w:t>
            </w:r>
            <w:r>
              <w:rPr>
                <w:rFonts w:hint="eastAsia" w:ascii="仿宋_GB2312" w:hAnsi="仿宋_GB2312" w:eastAsia="仿宋_GB2312" w:cs="仿宋_GB2312"/>
                <w:color w:val="auto"/>
                <w:kern w:val="0"/>
                <w:sz w:val="22"/>
                <w:highlight w:val="none"/>
                <w:lang w:val="en-US" w:eastAsia="zh-CN"/>
              </w:rPr>
              <w:t>元</w:t>
            </w:r>
          </w:p>
        </w:tc>
        <w:tc>
          <w:tcPr>
            <w:tcW w:w="1218" w:type="dxa"/>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r>
              <w:rPr>
                <w:rFonts w:hint="eastAsia" w:ascii="仿宋_GB2312" w:hAnsi="仿宋_GB2312" w:eastAsia="仿宋_GB2312" w:cs="仿宋_GB2312"/>
                <w:color w:val="auto"/>
                <w:kern w:val="0"/>
                <w:sz w:val="22"/>
                <w:highlight w:val="none"/>
              </w:rPr>
              <w:t>20%</w:t>
            </w:r>
          </w:p>
        </w:tc>
        <w:tc>
          <w:tcPr>
            <w:tcW w:w="1218" w:type="dxa"/>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r>
              <w:rPr>
                <w:rFonts w:hint="eastAsia" w:ascii="仿宋_GB2312" w:hAnsi="仿宋_GB2312" w:eastAsia="仿宋_GB2312" w:cs="仿宋_GB2312"/>
                <w:color w:val="auto"/>
                <w:kern w:val="0"/>
                <w:sz w:val="22"/>
                <w:highlight w:val="none"/>
              </w:rPr>
              <w:t>20%</w:t>
            </w:r>
          </w:p>
        </w:tc>
        <w:tc>
          <w:tcPr>
            <w:tcW w:w="1218" w:type="dxa"/>
            <w:vAlign w:val="center"/>
          </w:tcPr>
          <w:p>
            <w:pPr>
              <w:widowControl/>
              <w:jc w:val="center"/>
              <w:rPr>
                <w:rFonts w:hint="eastAsia" w:ascii="仿宋_GB2312" w:hAnsi="仿宋_GB2312" w:eastAsia="仿宋_GB2312" w:cs="仿宋_GB2312"/>
                <w:color w:val="auto"/>
                <w:spacing w:val="6"/>
                <w:sz w:val="31"/>
                <w:szCs w:val="31"/>
                <w:highlight w:val="none"/>
                <w:vertAlign w:val="baseline"/>
                <w:lang w:val="en-US" w:eastAsia="zh-CN"/>
              </w:rPr>
            </w:pPr>
            <w:r>
              <w:rPr>
                <w:rFonts w:hint="eastAsia" w:ascii="仿宋_GB2312" w:hAnsi="仿宋_GB2312" w:eastAsia="仿宋_GB2312" w:cs="仿宋_GB2312"/>
                <w:color w:val="auto"/>
                <w:kern w:val="0"/>
                <w:sz w:val="22"/>
                <w:highlight w:val="none"/>
              </w:rPr>
              <w:t>1</w:t>
            </w:r>
            <w:r>
              <w:rPr>
                <w:rFonts w:hint="eastAsia" w:ascii="仿宋_GB2312" w:hAnsi="仿宋_GB2312" w:eastAsia="仿宋_GB2312" w:cs="仿宋_GB2312"/>
                <w:color w:val="auto"/>
                <w:kern w:val="0"/>
                <w:sz w:val="22"/>
                <w:highlight w:val="none"/>
                <w:lang w:val="en-US" w:eastAsia="zh-CN"/>
              </w:rPr>
              <w:t>5</w:t>
            </w:r>
            <w:r>
              <w:rPr>
                <w:rFonts w:hint="eastAsia" w:ascii="仿宋_GB2312" w:hAnsi="仿宋_GB2312" w:eastAsia="仿宋_GB2312" w:cs="仿宋_GB2312"/>
                <w:color w:val="auto"/>
                <w:kern w:val="0"/>
                <w:sz w:val="22"/>
                <w:highlight w:val="none"/>
              </w:rPr>
              <w:t>万</w:t>
            </w:r>
            <w:r>
              <w:rPr>
                <w:rFonts w:hint="eastAsia" w:ascii="仿宋_GB2312" w:hAnsi="仿宋_GB2312" w:eastAsia="仿宋_GB2312" w:cs="仿宋_GB2312"/>
                <w:color w:val="auto"/>
                <w:kern w:val="0"/>
                <w:sz w:val="22"/>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vMerge w:val="continue"/>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p>
        </w:tc>
        <w:tc>
          <w:tcPr>
            <w:tcW w:w="1215" w:type="dxa"/>
            <w:vMerge w:val="continue"/>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p>
        </w:tc>
        <w:tc>
          <w:tcPr>
            <w:tcW w:w="1200" w:type="dxa"/>
            <w:vMerge w:val="continue"/>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p>
        </w:tc>
        <w:tc>
          <w:tcPr>
            <w:tcW w:w="1217" w:type="dxa"/>
            <w:vMerge w:val="continue"/>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p>
        </w:tc>
        <w:tc>
          <w:tcPr>
            <w:tcW w:w="1218" w:type="dxa"/>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r>
              <w:rPr>
                <w:rFonts w:hint="eastAsia" w:ascii="仿宋_GB2312" w:hAnsi="仿宋_GB2312" w:eastAsia="仿宋_GB2312" w:cs="仿宋_GB2312"/>
                <w:color w:val="auto"/>
                <w:kern w:val="0"/>
                <w:sz w:val="22"/>
                <w:highlight w:val="none"/>
              </w:rPr>
              <w:t>40%</w:t>
            </w:r>
          </w:p>
        </w:tc>
        <w:tc>
          <w:tcPr>
            <w:tcW w:w="1218" w:type="dxa"/>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r>
              <w:rPr>
                <w:rFonts w:hint="eastAsia" w:ascii="仿宋_GB2312" w:hAnsi="仿宋_GB2312" w:eastAsia="仿宋_GB2312" w:cs="仿宋_GB2312"/>
                <w:color w:val="auto"/>
                <w:kern w:val="0"/>
                <w:sz w:val="22"/>
                <w:highlight w:val="none"/>
              </w:rPr>
              <w:t>50%</w:t>
            </w:r>
          </w:p>
        </w:tc>
        <w:tc>
          <w:tcPr>
            <w:tcW w:w="1218" w:type="dxa"/>
            <w:vAlign w:val="center"/>
          </w:tcPr>
          <w:p>
            <w:pPr>
              <w:widowControl/>
              <w:jc w:val="center"/>
              <w:rPr>
                <w:rFonts w:hint="eastAsia" w:ascii="仿宋_GB2312" w:hAnsi="仿宋_GB2312" w:eastAsia="仿宋_GB2312" w:cs="仿宋_GB2312"/>
                <w:color w:val="auto"/>
                <w:spacing w:val="6"/>
                <w:sz w:val="31"/>
                <w:szCs w:val="31"/>
                <w:highlight w:val="none"/>
                <w:vertAlign w:val="baseline"/>
                <w:lang w:val="en-US" w:eastAsia="zh-CN"/>
              </w:rPr>
            </w:pPr>
            <w:r>
              <w:rPr>
                <w:rFonts w:hint="eastAsia" w:ascii="仿宋_GB2312" w:hAnsi="仿宋_GB2312" w:eastAsia="仿宋_GB2312" w:cs="仿宋_GB2312"/>
                <w:color w:val="auto"/>
                <w:kern w:val="0"/>
                <w:sz w:val="22"/>
                <w:highlight w:val="none"/>
              </w:rPr>
              <w:t>30万</w:t>
            </w:r>
            <w:r>
              <w:rPr>
                <w:rFonts w:hint="eastAsia" w:ascii="仿宋_GB2312" w:hAnsi="仿宋_GB2312" w:eastAsia="仿宋_GB2312" w:cs="仿宋_GB2312"/>
                <w:color w:val="auto"/>
                <w:kern w:val="0"/>
                <w:sz w:val="22"/>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vMerge w:val="restart"/>
            <w:vAlign w:val="center"/>
          </w:tcPr>
          <w:p>
            <w:pPr>
              <w:widowControl/>
              <w:jc w:val="center"/>
              <w:rPr>
                <w:rFonts w:hint="eastAsia" w:ascii="仿宋_GB2312" w:hAnsi="仿宋_GB2312" w:eastAsia="仿宋_GB2312" w:cs="仿宋_GB2312"/>
                <w:color w:val="auto"/>
                <w:spacing w:val="6"/>
                <w:sz w:val="31"/>
                <w:szCs w:val="31"/>
                <w:highlight w:val="none"/>
                <w:vertAlign w:val="baseline"/>
                <w:lang w:val="en-US" w:eastAsia="zh-CN"/>
              </w:rPr>
            </w:pPr>
            <w:r>
              <w:rPr>
                <w:rFonts w:hint="eastAsia" w:ascii="仿宋_GB2312" w:hAnsi="仿宋_GB2312" w:eastAsia="仿宋_GB2312" w:cs="仿宋_GB2312"/>
                <w:color w:val="auto"/>
                <w:kern w:val="0"/>
                <w:sz w:val="22"/>
                <w:highlight w:val="none"/>
                <w:lang w:val="en-US" w:eastAsia="zh-CN"/>
              </w:rPr>
              <w:t>1</w:t>
            </w:r>
            <w:r>
              <w:rPr>
                <w:rFonts w:hint="eastAsia" w:ascii="仿宋_GB2312" w:hAnsi="仿宋_GB2312" w:eastAsia="仿宋_GB2312" w:cs="仿宋_GB2312"/>
                <w:color w:val="auto"/>
                <w:kern w:val="0"/>
                <w:sz w:val="22"/>
                <w:highlight w:val="none"/>
              </w:rPr>
              <w:t>亿</w:t>
            </w:r>
            <w:r>
              <w:rPr>
                <w:rFonts w:hint="eastAsia" w:ascii="仿宋_GB2312" w:hAnsi="仿宋_GB2312" w:eastAsia="仿宋_GB2312" w:cs="仿宋_GB2312"/>
                <w:color w:val="auto"/>
                <w:kern w:val="0"/>
                <w:sz w:val="22"/>
                <w:highlight w:val="none"/>
                <w:lang w:val="en-US" w:eastAsia="zh-CN"/>
              </w:rPr>
              <w:t>元</w:t>
            </w:r>
            <w:r>
              <w:rPr>
                <w:rFonts w:hint="eastAsia" w:ascii="仿宋_GB2312" w:hAnsi="仿宋_GB2312" w:eastAsia="仿宋_GB2312" w:cs="仿宋_GB2312"/>
                <w:color w:val="auto"/>
                <w:kern w:val="0"/>
                <w:sz w:val="22"/>
                <w:highlight w:val="none"/>
                <w:lang w:eastAsia="zh-CN"/>
              </w:rPr>
              <w:t>（</w:t>
            </w:r>
            <w:r>
              <w:rPr>
                <w:rFonts w:hint="eastAsia" w:ascii="仿宋_GB2312" w:hAnsi="仿宋_GB2312" w:eastAsia="仿宋_GB2312" w:cs="仿宋_GB2312"/>
                <w:color w:val="auto"/>
                <w:kern w:val="0"/>
                <w:sz w:val="22"/>
                <w:highlight w:val="none"/>
                <w:lang w:val="en-US" w:eastAsia="zh-CN"/>
              </w:rPr>
              <w:t>含</w:t>
            </w:r>
            <w:r>
              <w:rPr>
                <w:rFonts w:hint="eastAsia" w:ascii="仿宋_GB2312" w:hAnsi="仿宋_GB2312" w:eastAsia="仿宋_GB2312" w:cs="仿宋_GB2312"/>
                <w:color w:val="auto"/>
                <w:kern w:val="0"/>
                <w:sz w:val="22"/>
                <w:highlight w:val="none"/>
                <w:lang w:eastAsia="zh-CN"/>
              </w:rPr>
              <w:t>）</w:t>
            </w:r>
            <w:r>
              <w:rPr>
                <w:rFonts w:hint="eastAsia" w:ascii="仿宋_GB2312" w:hAnsi="仿宋_GB2312" w:eastAsia="仿宋_GB2312" w:cs="仿宋_GB2312"/>
                <w:color w:val="auto"/>
                <w:kern w:val="0"/>
                <w:sz w:val="22"/>
                <w:highlight w:val="none"/>
              </w:rPr>
              <w:t>--</w:t>
            </w:r>
            <w:r>
              <w:rPr>
                <w:rFonts w:hint="eastAsia" w:ascii="仿宋_GB2312" w:hAnsi="仿宋_GB2312" w:eastAsia="仿宋_GB2312" w:cs="仿宋_GB2312"/>
                <w:color w:val="auto"/>
                <w:kern w:val="0"/>
                <w:sz w:val="22"/>
                <w:highlight w:val="none"/>
                <w:lang w:val="en-US" w:eastAsia="zh-CN"/>
              </w:rPr>
              <w:t xml:space="preserve"> 5</w:t>
            </w:r>
            <w:r>
              <w:rPr>
                <w:rFonts w:hint="eastAsia" w:ascii="仿宋_GB2312" w:hAnsi="仿宋_GB2312" w:eastAsia="仿宋_GB2312" w:cs="仿宋_GB2312"/>
                <w:color w:val="auto"/>
                <w:kern w:val="0"/>
                <w:sz w:val="22"/>
                <w:highlight w:val="none"/>
              </w:rPr>
              <w:t>亿</w:t>
            </w:r>
            <w:r>
              <w:rPr>
                <w:rFonts w:hint="eastAsia" w:ascii="仿宋_GB2312" w:hAnsi="仿宋_GB2312" w:eastAsia="仿宋_GB2312" w:cs="仿宋_GB2312"/>
                <w:color w:val="auto"/>
                <w:kern w:val="0"/>
                <w:sz w:val="22"/>
                <w:highlight w:val="none"/>
                <w:lang w:val="en-US" w:eastAsia="zh-CN"/>
              </w:rPr>
              <w:t>元</w:t>
            </w:r>
          </w:p>
        </w:tc>
        <w:tc>
          <w:tcPr>
            <w:tcW w:w="1215" w:type="dxa"/>
            <w:vMerge w:val="restart"/>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r>
              <w:rPr>
                <w:rFonts w:hint="eastAsia" w:ascii="仿宋_GB2312" w:hAnsi="仿宋_GB2312" w:eastAsia="仿宋_GB2312" w:cs="仿宋_GB2312"/>
                <w:color w:val="auto"/>
                <w:kern w:val="0"/>
                <w:sz w:val="22"/>
                <w:highlight w:val="none"/>
              </w:rPr>
              <w:t>10%</w:t>
            </w:r>
          </w:p>
        </w:tc>
        <w:tc>
          <w:tcPr>
            <w:tcW w:w="1200" w:type="dxa"/>
            <w:vMerge w:val="restart"/>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r>
              <w:rPr>
                <w:rFonts w:hint="eastAsia" w:ascii="仿宋_GB2312" w:hAnsi="仿宋_GB2312" w:eastAsia="仿宋_GB2312" w:cs="仿宋_GB2312"/>
                <w:color w:val="auto"/>
                <w:kern w:val="0"/>
                <w:sz w:val="22"/>
                <w:highlight w:val="none"/>
              </w:rPr>
              <w:t>10%</w:t>
            </w:r>
          </w:p>
        </w:tc>
        <w:tc>
          <w:tcPr>
            <w:tcW w:w="1217" w:type="dxa"/>
            <w:vMerge w:val="restart"/>
            <w:vAlign w:val="center"/>
          </w:tcPr>
          <w:p>
            <w:pPr>
              <w:widowControl/>
              <w:jc w:val="center"/>
              <w:rPr>
                <w:rFonts w:hint="eastAsia" w:ascii="仿宋_GB2312" w:hAnsi="仿宋_GB2312" w:eastAsia="仿宋_GB2312" w:cs="仿宋_GB2312"/>
                <w:color w:val="auto"/>
                <w:spacing w:val="6"/>
                <w:sz w:val="31"/>
                <w:szCs w:val="31"/>
                <w:highlight w:val="none"/>
                <w:vertAlign w:val="baseline"/>
                <w:lang w:val="en-US" w:eastAsia="zh-CN"/>
              </w:rPr>
            </w:pPr>
            <w:r>
              <w:rPr>
                <w:rFonts w:hint="eastAsia" w:ascii="仿宋_GB2312" w:hAnsi="仿宋_GB2312" w:eastAsia="仿宋_GB2312" w:cs="仿宋_GB2312"/>
                <w:color w:val="auto"/>
                <w:kern w:val="0"/>
                <w:sz w:val="22"/>
                <w:highlight w:val="none"/>
              </w:rPr>
              <w:t>1500万</w:t>
            </w:r>
            <w:r>
              <w:rPr>
                <w:rFonts w:hint="eastAsia" w:ascii="仿宋_GB2312" w:hAnsi="仿宋_GB2312" w:eastAsia="仿宋_GB2312" w:cs="仿宋_GB2312"/>
                <w:color w:val="auto"/>
                <w:kern w:val="0"/>
                <w:sz w:val="22"/>
                <w:highlight w:val="none"/>
                <w:lang w:val="en-US" w:eastAsia="zh-CN"/>
              </w:rPr>
              <w:t>元</w:t>
            </w:r>
          </w:p>
        </w:tc>
        <w:tc>
          <w:tcPr>
            <w:tcW w:w="1218" w:type="dxa"/>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r>
              <w:rPr>
                <w:rFonts w:hint="eastAsia" w:ascii="仿宋_GB2312" w:hAnsi="仿宋_GB2312" w:eastAsia="仿宋_GB2312" w:cs="仿宋_GB2312"/>
                <w:color w:val="auto"/>
                <w:kern w:val="0"/>
                <w:sz w:val="22"/>
                <w:highlight w:val="none"/>
              </w:rPr>
              <w:t>15%</w:t>
            </w:r>
          </w:p>
        </w:tc>
        <w:tc>
          <w:tcPr>
            <w:tcW w:w="1218" w:type="dxa"/>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r>
              <w:rPr>
                <w:rFonts w:hint="eastAsia" w:ascii="仿宋_GB2312" w:hAnsi="仿宋_GB2312" w:eastAsia="仿宋_GB2312" w:cs="仿宋_GB2312"/>
                <w:color w:val="auto"/>
                <w:kern w:val="0"/>
                <w:sz w:val="22"/>
                <w:highlight w:val="none"/>
              </w:rPr>
              <w:t>20%</w:t>
            </w:r>
          </w:p>
        </w:tc>
        <w:tc>
          <w:tcPr>
            <w:tcW w:w="1218" w:type="dxa"/>
            <w:vAlign w:val="center"/>
          </w:tcPr>
          <w:p>
            <w:pPr>
              <w:widowControl/>
              <w:jc w:val="center"/>
              <w:rPr>
                <w:rFonts w:hint="eastAsia" w:ascii="仿宋_GB2312" w:hAnsi="仿宋_GB2312" w:eastAsia="仿宋_GB2312" w:cs="仿宋_GB2312"/>
                <w:color w:val="auto"/>
                <w:spacing w:val="6"/>
                <w:sz w:val="31"/>
                <w:szCs w:val="31"/>
                <w:highlight w:val="none"/>
                <w:vertAlign w:val="baseline"/>
                <w:lang w:val="en-US" w:eastAsia="zh-CN"/>
              </w:rPr>
            </w:pPr>
            <w:r>
              <w:rPr>
                <w:rFonts w:hint="eastAsia" w:ascii="仿宋_GB2312" w:hAnsi="仿宋_GB2312" w:eastAsia="仿宋_GB2312" w:cs="仿宋_GB2312"/>
                <w:color w:val="auto"/>
                <w:kern w:val="0"/>
                <w:sz w:val="22"/>
                <w:highlight w:val="none"/>
                <w:lang w:val="en-US" w:eastAsia="zh-CN"/>
              </w:rPr>
              <w:t>20</w:t>
            </w:r>
            <w:r>
              <w:rPr>
                <w:rFonts w:hint="eastAsia" w:ascii="仿宋_GB2312" w:hAnsi="仿宋_GB2312" w:eastAsia="仿宋_GB2312" w:cs="仿宋_GB2312"/>
                <w:color w:val="auto"/>
                <w:kern w:val="0"/>
                <w:sz w:val="22"/>
                <w:highlight w:val="none"/>
              </w:rPr>
              <w:t>万</w:t>
            </w:r>
            <w:r>
              <w:rPr>
                <w:rFonts w:hint="eastAsia" w:ascii="仿宋_GB2312" w:hAnsi="仿宋_GB2312" w:eastAsia="仿宋_GB2312" w:cs="仿宋_GB2312"/>
                <w:color w:val="auto"/>
                <w:kern w:val="0"/>
                <w:sz w:val="22"/>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vMerge w:val="continue"/>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p>
        </w:tc>
        <w:tc>
          <w:tcPr>
            <w:tcW w:w="1215" w:type="dxa"/>
            <w:vMerge w:val="continue"/>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p>
        </w:tc>
        <w:tc>
          <w:tcPr>
            <w:tcW w:w="1200" w:type="dxa"/>
            <w:vMerge w:val="continue"/>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p>
        </w:tc>
        <w:tc>
          <w:tcPr>
            <w:tcW w:w="1217" w:type="dxa"/>
            <w:vMerge w:val="continue"/>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p>
        </w:tc>
        <w:tc>
          <w:tcPr>
            <w:tcW w:w="1218" w:type="dxa"/>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r>
              <w:rPr>
                <w:rFonts w:hint="eastAsia" w:ascii="仿宋_GB2312" w:hAnsi="仿宋_GB2312" w:eastAsia="仿宋_GB2312" w:cs="仿宋_GB2312"/>
                <w:color w:val="auto"/>
                <w:kern w:val="0"/>
                <w:sz w:val="22"/>
                <w:highlight w:val="none"/>
              </w:rPr>
              <w:t>30%</w:t>
            </w:r>
          </w:p>
        </w:tc>
        <w:tc>
          <w:tcPr>
            <w:tcW w:w="1218" w:type="dxa"/>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r>
              <w:rPr>
                <w:rFonts w:hint="eastAsia" w:ascii="仿宋_GB2312" w:hAnsi="仿宋_GB2312" w:eastAsia="仿宋_GB2312" w:cs="仿宋_GB2312"/>
                <w:color w:val="auto"/>
                <w:kern w:val="0"/>
                <w:sz w:val="22"/>
                <w:highlight w:val="none"/>
              </w:rPr>
              <w:t>50%</w:t>
            </w:r>
          </w:p>
        </w:tc>
        <w:tc>
          <w:tcPr>
            <w:tcW w:w="1218" w:type="dxa"/>
            <w:vAlign w:val="center"/>
          </w:tcPr>
          <w:p>
            <w:pPr>
              <w:widowControl/>
              <w:jc w:val="center"/>
              <w:rPr>
                <w:rFonts w:hint="eastAsia" w:ascii="仿宋_GB2312" w:hAnsi="仿宋_GB2312" w:eastAsia="仿宋_GB2312" w:cs="仿宋_GB2312"/>
                <w:color w:val="auto"/>
                <w:spacing w:val="6"/>
                <w:sz w:val="31"/>
                <w:szCs w:val="31"/>
                <w:highlight w:val="none"/>
                <w:vertAlign w:val="baseline"/>
                <w:lang w:val="en-US" w:eastAsia="zh-CN"/>
              </w:rPr>
            </w:pPr>
            <w:r>
              <w:rPr>
                <w:rFonts w:hint="eastAsia" w:ascii="仿宋_GB2312" w:hAnsi="仿宋_GB2312" w:eastAsia="仿宋_GB2312" w:cs="仿宋_GB2312"/>
                <w:color w:val="auto"/>
                <w:kern w:val="0"/>
                <w:sz w:val="22"/>
                <w:highlight w:val="none"/>
              </w:rPr>
              <w:t>45万</w:t>
            </w:r>
            <w:r>
              <w:rPr>
                <w:rFonts w:hint="eastAsia" w:ascii="仿宋_GB2312" w:hAnsi="仿宋_GB2312" w:eastAsia="仿宋_GB2312" w:cs="仿宋_GB2312"/>
                <w:color w:val="auto"/>
                <w:kern w:val="0"/>
                <w:sz w:val="22"/>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vMerge w:val="restart"/>
            <w:vAlign w:val="center"/>
          </w:tcPr>
          <w:p>
            <w:pPr>
              <w:widowControl/>
              <w:jc w:val="center"/>
              <w:rPr>
                <w:rFonts w:hint="eastAsia" w:ascii="仿宋_GB2312" w:hAnsi="仿宋_GB2312" w:eastAsia="仿宋_GB2312" w:cs="仿宋_GB2312"/>
                <w:color w:val="auto"/>
                <w:spacing w:val="6"/>
                <w:sz w:val="31"/>
                <w:szCs w:val="31"/>
                <w:highlight w:val="none"/>
                <w:vertAlign w:val="baseline"/>
                <w:lang w:val="en-US" w:eastAsia="zh-CN"/>
              </w:rPr>
            </w:pPr>
            <w:r>
              <w:rPr>
                <w:rFonts w:hint="eastAsia" w:ascii="仿宋_GB2312" w:hAnsi="仿宋_GB2312" w:eastAsia="仿宋_GB2312" w:cs="仿宋_GB2312"/>
                <w:color w:val="auto"/>
                <w:kern w:val="0"/>
                <w:sz w:val="22"/>
                <w:highlight w:val="none"/>
              </w:rPr>
              <w:t>5亿</w:t>
            </w:r>
            <w:r>
              <w:rPr>
                <w:rFonts w:hint="eastAsia" w:ascii="仿宋_GB2312" w:hAnsi="仿宋_GB2312" w:eastAsia="仿宋_GB2312" w:cs="仿宋_GB2312"/>
                <w:color w:val="auto"/>
                <w:kern w:val="0"/>
                <w:sz w:val="22"/>
                <w:highlight w:val="none"/>
                <w:lang w:val="en-US" w:eastAsia="zh-CN"/>
              </w:rPr>
              <w:t>元</w:t>
            </w:r>
            <w:r>
              <w:rPr>
                <w:rFonts w:hint="eastAsia" w:ascii="仿宋_GB2312" w:hAnsi="仿宋_GB2312" w:eastAsia="仿宋_GB2312" w:cs="仿宋_GB2312"/>
                <w:color w:val="auto"/>
                <w:kern w:val="0"/>
                <w:sz w:val="22"/>
                <w:highlight w:val="none"/>
                <w:lang w:eastAsia="zh-CN"/>
              </w:rPr>
              <w:t>（</w:t>
            </w:r>
            <w:r>
              <w:rPr>
                <w:rFonts w:hint="eastAsia" w:ascii="仿宋_GB2312" w:hAnsi="仿宋_GB2312" w:eastAsia="仿宋_GB2312" w:cs="仿宋_GB2312"/>
                <w:color w:val="auto"/>
                <w:kern w:val="0"/>
                <w:sz w:val="22"/>
                <w:highlight w:val="none"/>
                <w:lang w:val="en-US" w:eastAsia="zh-CN"/>
              </w:rPr>
              <w:t>含</w:t>
            </w:r>
            <w:r>
              <w:rPr>
                <w:rFonts w:hint="eastAsia" w:ascii="仿宋_GB2312" w:hAnsi="仿宋_GB2312" w:eastAsia="仿宋_GB2312" w:cs="仿宋_GB2312"/>
                <w:color w:val="auto"/>
                <w:kern w:val="0"/>
                <w:sz w:val="22"/>
                <w:highlight w:val="none"/>
                <w:lang w:eastAsia="zh-CN"/>
              </w:rPr>
              <w:t>）</w:t>
            </w:r>
            <w:r>
              <w:rPr>
                <w:rFonts w:hint="eastAsia" w:ascii="仿宋_GB2312" w:hAnsi="仿宋_GB2312" w:eastAsia="仿宋_GB2312" w:cs="仿宋_GB2312"/>
                <w:color w:val="auto"/>
                <w:kern w:val="0"/>
                <w:sz w:val="22"/>
                <w:highlight w:val="none"/>
              </w:rPr>
              <w:t>--10亿</w:t>
            </w:r>
            <w:r>
              <w:rPr>
                <w:rFonts w:hint="eastAsia" w:ascii="仿宋_GB2312" w:hAnsi="仿宋_GB2312" w:eastAsia="仿宋_GB2312" w:cs="仿宋_GB2312"/>
                <w:color w:val="auto"/>
                <w:kern w:val="0"/>
                <w:sz w:val="22"/>
                <w:highlight w:val="none"/>
                <w:lang w:val="en-US" w:eastAsia="zh-CN"/>
              </w:rPr>
              <w:t>元</w:t>
            </w:r>
          </w:p>
        </w:tc>
        <w:tc>
          <w:tcPr>
            <w:tcW w:w="1215" w:type="dxa"/>
            <w:vMerge w:val="restart"/>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r>
              <w:rPr>
                <w:rFonts w:hint="eastAsia" w:ascii="仿宋_GB2312" w:hAnsi="仿宋_GB2312" w:eastAsia="仿宋_GB2312" w:cs="仿宋_GB2312"/>
                <w:color w:val="auto"/>
                <w:kern w:val="0"/>
                <w:sz w:val="22"/>
                <w:highlight w:val="none"/>
              </w:rPr>
              <w:t>5%</w:t>
            </w:r>
          </w:p>
        </w:tc>
        <w:tc>
          <w:tcPr>
            <w:tcW w:w="1200" w:type="dxa"/>
            <w:vMerge w:val="restart"/>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r>
              <w:rPr>
                <w:rFonts w:hint="eastAsia" w:ascii="仿宋_GB2312" w:hAnsi="仿宋_GB2312" w:eastAsia="仿宋_GB2312" w:cs="仿宋_GB2312"/>
                <w:color w:val="auto"/>
                <w:kern w:val="0"/>
                <w:sz w:val="22"/>
                <w:highlight w:val="none"/>
              </w:rPr>
              <w:t>5%</w:t>
            </w:r>
          </w:p>
        </w:tc>
        <w:tc>
          <w:tcPr>
            <w:tcW w:w="1217" w:type="dxa"/>
            <w:vMerge w:val="restart"/>
            <w:vAlign w:val="center"/>
          </w:tcPr>
          <w:p>
            <w:pPr>
              <w:widowControl/>
              <w:jc w:val="center"/>
              <w:rPr>
                <w:rFonts w:hint="eastAsia" w:ascii="仿宋_GB2312" w:hAnsi="仿宋_GB2312" w:eastAsia="仿宋_GB2312" w:cs="仿宋_GB2312"/>
                <w:color w:val="auto"/>
                <w:spacing w:val="6"/>
                <w:sz w:val="31"/>
                <w:szCs w:val="31"/>
                <w:highlight w:val="none"/>
                <w:vertAlign w:val="baseline"/>
                <w:lang w:val="en-US" w:eastAsia="zh-CN"/>
              </w:rPr>
            </w:pPr>
            <w:r>
              <w:rPr>
                <w:rFonts w:hint="eastAsia" w:ascii="仿宋_GB2312" w:hAnsi="仿宋_GB2312" w:eastAsia="仿宋_GB2312" w:cs="仿宋_GB2312"/>
                <w:color w:val="auto"/>
                <w:kern w:val="0"/>
                <w:sz w:val="22"/>
                <w:highlight w:val="none"/>
              </w:rPr>
              <w:t>2000万</w:t>
            </w:r>
            <w:r>
              <w:rPr>
                <w:rFonts w:hint="eastAsia" w:ascii="仿宋_GB2312" w:hAnsi="仿宋_GB2312" w:eastAsia="仿宋_GB2312" w:cs="仿宋_GB2312"/>
                <w:color w:val="auto"/>
                <w:kern w:val="0"/>
                <w:sz w:val="22"/>
                <w:highlight w:val="none"/>
                <w:lang w:val="en-US" w:eastAsia="zh-CN"/>
              </w:rPr>
              <w:t>元</w:t>
            </w:r>
          </w:p>
        </w:tc>
        <w:tc>
          <w:tcPr>
            <w:tcW w:w="1218" w:type="dxa"/>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r>
              <w:rPr>
                <w:rFonts w:hint="eastAsia" w:ascii="仿宋_GB2312" w:hAnsi="仿宋_GB2312" w:eastAsia="仿宋_GB2312" w:cs="仿宋_GB2312"/>
                <w:color w:val="auto"/>
                <w:kern w:val="0"/>
                <w:sz w:val="22"/>
                <w:highlight w:val="none"/>
              </w:rPr>
              <w:t>8%</w:t>
            </w:r>
          </w:p>
        </w:tc>
        <w:tc>
          <w:tcPr>
            <w:tcW w:w="1218" w:type="dxa"/>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r>
              <w:rPr>
                <w:rFonts w:hint="eastAsia" w:ascii="仿宋_GB2312" w:hAnsi="仿宋_GB2312" w:eastAsia="仿宋_GB2312" w:cs="仿宋_GB2312"/>
                <w:color w:val="auto"/>
                <w:kern w:val="0"/>
                <w:sz w:val="22"/>
                <w:highlight w:val="none"/>
              </w:rPr>
              <w:t>20%</w:t>
            </w:r>
          </w:p>
        </w:tc>
        <w:tc>
          <w:tcPr>
            <w:tcW w:w="1218" w:type="dxa"/>
            <w:vAlign w:val="center"/>
          </w:tcPr>
          <w:p>
            <w:pPr>
              <w:widowControl/>
              <w:jc w:val="center"/>
              <w:rPr>
                <w:rFonts w:hint="eastAsia" w:ascii="仿宋_GB2312" w:hAnsi="仿宋_GB2312" w:eastAsia="仿宋_GB2312" w:cs="仿宋_GB2312"/>
                <w:color w:val="auto"/>
                <w:spacing w:val="6"/>
                <w:sz w:val="31"/>
                <w:szCs w:val="31"/>
                <w:highlight w:val="none"/>
                <w:vertAlign w:val="baseline"/>
                <w:lang w:val="en-US" w:eastAsia="zh-CN"/>
              </w:rPr>
            </w:pPr>
            <w:r>
              <w:rPr>
                <w:rFonts w:hint="eastAsia" w:ascii="仿宋_GB2312" w:hAnsi="仿宋_GB2312" w:eastAsia="仿宋_GB2312" w:cs="仿宋_GB2312"/>
                <w:color w:val="auto"/>
                <w:kern w:val="0"/>
                <w:sz w:val="22"/>
                <w:highlight w:val="none"/>
              </w:rPr>
              <w:t>2</w:t>
            </w:r>
            <w:r>
              <w:rPr>
                <w:rFonts w:hint="eastAsia" w:ascii="仿宋_GB2312" w:hAnsi="仿宋_GB2312" w:eastAsia="仿宋_GB2312" w:cs="仿宋_GB2312"/>
                <w:color w:val="auto"/>
                <w:kern w:val="0"/>
                <w:sz w:val="22"/>
                <w:highlight w:val="none"/>
                <w:lang w:val="en-US" w:eastAsia="zh-CN"/>
              </w:rPr>
              <w:t>5</w:t>
            </w:r>
            <w:r>
              <w:rPr>
                <w:rFonts w:hint="eastAsia" w:ascii="仿宋_GB2312" w:hAnsi="仿宋_GB2312" w:eastAsia="仿宋_GB2312" w:cs="仿宋_GB2312"/>
                <w:color w:val="auto"/>
                <w:kern w:val="0"/>
                <w:sz w:val="22"/>
                <w:highlight w:val="none"/>
              </w:rPr>
              <w:t>万</w:t>
            </w:r>
            <w:r>
              <w:rPr>
                <w:rFonts w:hint="eastAsia" w:ascii="仿宋_GB2312" w:hAnsi="仿宋_GB2312" w:eastAsia="仿宋_GB2312" w:cs="仿宋_GB2312"/>
                <w:color w:val="auto"/>
                <w:kern w:val="0"/>
                <w:sz w:val="22"/>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5" w:type="dxa"/>
            <w:vMerge w:val="continue"/>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p>
        </w:tc>
        <w:tc>
          <w:tcPr>
            <w:tcW w:w="1215" w:type="dxa"/>
            <w:vMerge w:val="continue"/>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p>
        </w:tc>
        <w:tc>
          <w:tcPr>
            <w:tcW w:w="1200" w:type="dxa"/>
            <w:vMerge w:val="continue"/>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p>
        </w:tc>
        <w:tc>
          <w:tcPr>
            <w:tcW w:w="1217" w:type="dxa"/>
            <w:vMerge w:val="continue"/>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p>
        </w:tc>
        <w:tc>
          <w:tcPr>
            <w:tcW w:w="1218" w:type="dxa"/>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r>
              <w:rPr>
                <w:rFonts w:hint="eastAsia" w:ascii="仿宋_GB2312" w:hAnsi="仿宋_GB2312" w:eastAsia="仿宋_GB2312" w:cs="仿宋_GB2312"/>
                <w:color w:val="auto"/>
                <w:kern w:val="0"/>
                <w:sz w:val="22"/>
                <w:highlight w:val="none"/>
              </w:rPr>
              <w:t>12%</w:t>
            </w:r>
          </w:p>
        </w:tc>
        <w:tc>
          <w:tcPr>
            <w:tcW w:w="1218" w:type="dxa"/>
            <w:vAlign w:val="center"/>
          </w:tcPr>
          <w:p>
            <w:pPr>
              <w:widowControl/>
              <w:jc w:val="center"/>
              <w:rPr>
                <w:rFonts w:hint="eastAsia" w:ascii="仿宋_GB2312" w:hAnsi="仿宋_GB2312" w:eastAsia="仿宋_GB2312" w:cs="仿宋_GB2312"/>
                <w:color w:val="auto"/>
                <w:spacing w:val="6"/>
                <w:sz w:val="31"/>
                <w:szCs w:val="31"/>
                <w:highlight w:val="none"/>
                <w:vertAlign w:val="baseline"/>
              </w:rPr>
            </w:pPr>
            <w:r>
              <w:rPr>
                <w:rFonts w:hint="eastAsia" w:ascii="仿宋_GB2312" w:hAnsi="仿宋_GB2312" w:eastAsia="仿宋_GB2312" w:cs="仿宋_GB2312"/>
                <w:color w:val="auto"/>
                <w:kern w:val="0"/>
                <w:sz w:val="22"/>
                <w:highlight w:val="none"/>
              </w:rPr>
              <w:t>50%</w:t>
            </w:r>
          </w:p>
        </w:tc>
        <w:tc>
          <w:tcPr>
            <w:tcW w:w="1218" w:type="dxa"/>
            <w:vAlign w:val="center"/>
          </w:tcPr>
          <w:p>
            <w:pPr>
              <w:widowControl/>
              <w:jc w:val="center"/>
              <w:rPr>
                <w:rFonts w:hint="eastAsia" w:ascii="仿宋_GB2312" w:hAnsi="仿宋_GB2312" w:eastAsia="仿宋_GB2312" w:cs="仿宋_GB2312"/>
                <w:color w:val="auto"/>
                <w:spacing w:val="6"/>
                <w:sz w:val="31"/>
                <w:szCs w:val="31"/>
                <w:highlight w:val="none"/>
                <w:vertAlign w:val="baseline"/>
                <w:lang w:val="en-US" w:eastAsia="zh-CN"/>
              </w:rPr>
            </w:pPr>
            <w:r>
              <w:rPr>
                <w:rFonts w:hint="eastAsia" w:ascii="仿宋_GB2312" w:hAnsi="仿宋_GB2312" w:eastAsia="仿宋_GB2312" w:cs="仿宋_GB2312"/>
                <w:color w:val="auto"/>
                <w:kern w:val="0"/>
                <w:sz w:val="22"/>
                <w:highlight w:val="none"/>
              </w:rPr>
              <w:t>60万</w:t>
            </w:r>
            <w:r>
              <w:rPr>
                <w:rFonts w:hint="eastAsia" w:ascii="仿宋_GB2312" w:hAnsi="仿宋_GB2312" w:eastAsia="仿宋_GB2312" w:cs="仿宋_GB2312"/>
                <w:color w:val="auto"/>
                <w:kern w:val="0"/>
                <w:sz w:val="22"/>
                <w:highlight w:val="none"/>
                <w:lang w:val="en-US" w:eastAsia="zh-CN"/>
              </w:rPr>
              <w:t>元</w:t>
            </w:r>
          </w:p>
        </w:tc>
      </w:tr>
    </w:tbl>
    <w:p>
      <w:pPr>
        <w:spacing w:line="312" w:lineRule="auto"/>
        <w:ind w:firstLine="664" w:firstLineChars="200"/>
        <w:jc w:val="both"/>
        <w:rPr>
          <w:rFonts w:hint="eastAsia" w:ascii="Times New Roman" w:hAnsi="Times New Roman" w:eastAsia="仿宋_GB2312" w:cs="Times New Roman"/>
          <w:color w:val="auto"/>
          <w:spacing w:val="6"/>
          <w:sz w:val="32"/>
          <w:szCs w:val="32"/>
          <w:highlight w:val="none"/>
        </w:rPr>
      </w:pPr>
      <w:r>
        <w:rPr>
          <w:rFonts w:hint="eastAsia" w:ascii="Times New Roman" w:hAnsi="Times New Roman" w:eastAsia="仿宋_GB2312" w:cs="Times New Roman"/>
          <w:color w:val="auto"/>
          <w:spacing w:val="6"/>
          <w:sz w:val="32"/>
          <w:szCs w:val="32"/>
          <w:highlight w:val="none"/>
        </w:rPr>
        <w:t>若受政策调整、区内外经济环境</w:t>
      </w:r>
      <w:r>
        <w:rPr>
          <w:rFonts w:hint="eastAsia" w:ascii="Times New Roman" w:hAnsi="Times New Roman" w:eastAsia="仿宋_GB2312" w:cs="Times New Roman"/>
          <w:color w:val="auto"/>
          <w:spacing w:val="6"/>
          <w:sz w:val="32"/>
          <w:szCs w:val="32"/>
          <w:highlight w:val="none"/>
          <w:lang w:eastAsia="zh-CN"/>
        </w:rPr>
        <w:t>、</w:t>
      </w:r>
      <w:r>
        <w:rPr>
          <w:rFonts w:hint="eastAsia" w:ascii="Times New Roman" w:hAnsi="Times New Roman" w:eastAsia="仿宋_GB2312" w:cs="Times New Roman"/>
          <w:color w:val="auto"/>
          <w:spacing w:val="6"/>
          <w:sz w:val="32"/>
          <w:szCs w:val="32"/>
          <w:highlight w:val="none"/>
          <w:lang w:val="en-US" w:eastAsia="zh-CN"/>
        </w:rPr>
        <w:t>企业实际经营情况</w:t>
      </w:r>
      <w:r>
        <w:rPr>
          <w:rFonts w:hint="eastAsia" w:ascii="Times New Roman" w:hAnsi="Times New Roman" w:eastAsia="仿宋_GB2312" w:cs="Times New Roman"/>
          <w:color w:val="auto"/>
          <w:spacing w:val="6"/>
          <w:sz w:val="32"/>
          <w:szCs w:val="32"/>
          <w:highlight w:val="none"/>
        </w:rPr>
        <w:t>等因素影响，确需调整企业入池和贴息的标准，由区</w:t>
      </w:r>
      <w:r>
        <w:rPr>
          <w:rFonts w:hint="eastAsia" w:ascii="Times New Roman" w:hAnsi="Times New Roman" w:eastAsia="仿宋_GB2312" w:cs="Times New Roman"/>
          <w:color w:val="auto"/>
          <w:spacing w:val="6"/>
          <w:sz w:val="32"/>
          <w:szCs w:val="32"/>
          <w:highlight w:val="none"/>
          <w:lang w:val="en-US" w:eastAsia="zh-CN"/>
        </w:rPr>
        <w:t>经科局</w:t>
      </w:r>
      <w:r>
        <w:rPr>
          <w:rFonts w:hint="eastAsia" w:ascii="Times New Roman" w:hAnsi="Times New Roman" w:eastAsia="仿宋_GB2312" w:cs="Times New Roman"/>
          <w:color w:val="auto"/>
          <w:spacing w:val="6"/>
          <w:sz w:val="32"/>
          <w:szCs w:val="32"/>
          <w:highlight w:val="none"/>
        </w:rPr>
        <w:t>根据实际情况进行调整，报区管委会审定后实施。</w:t>
      </w:r>
    </w:p>
    <w:p>
      <w:pPr>
        <w:topLinePunct/>
        <w:spacing w:line="312" w:lineRule="auto"/>
        <w:jc w:val="both"/>
        <w:rPr>
          <w:rFonts w:ascii="Times New Roman" w:hAnsi="Times New Roman" w:eastAsia="仿宋_GB2312" w:cs="Times New Roman"/>
          <w:snapToGrid w:val="0"/>
          <w:color w:val="auto"/>
          <w:spacing w:val="6"/>
          <w:kern w:val="0"/>
          <w:sz w:val="32"/>
          <w:szCs w:val="32"/>
          <w:highlight w:val="none"/>
        </w:rPr>
      </w:pPr>
    </w:p>
    <w:p>
      <w:pPr>
        <w:spacing w:line="312" w:lineRule="auto"/>
        <w:jc w:val="center"/>
        <w:rPr>
          <w:rFonts w:ascii="Times New Roman" w:hAnsi="Times New Roman" w:eastAsia="黑体" w:cs="Times New Roman"/>
          <w:bCs/>
          <w:color w:val="auto"/>
          <w:spacing w:val="6"/>
          <w:sz w:val="32"/>
          <w:szCs w:val="32"/>
          <w:highlight w:val="none"/>
        </w:rPr>
      </w:pPr>
      <w:r>
        <w:rPr>
          <w:rFonts w:ascii="Times New Roman" w:hAnsi="Times New Roman" w:eastAsia="黑体" w:cs="Times New Roman"/>
          <w:bCs/>
          <w:color w:val="auto"/>
          <w:spacing w:val="6"/>
          <w:sz w:val="32"/>
          <w:szCs w:val="32"/>
          <w:highlight w:val="none"/>
        </w:rPr>
        <w:t>第</w:t>
      </w:r>
      <w:r>
        <w:rPr>
          <w:rFonts w:hint="eastAsia" w:ascii="Times New Roman" w:hAnsi="Times New Roman" w:eastAsia="黑体" w:cs="Times New Roman"/>
          <w:bCs/>
          <w:color w:val="auto"/>
          <w:spacing w:val="6"/>
          <w:sz w:val="32"/>
          <w:szCs w:val="32"/>
          <w:highlight w:val="none"/>
        </w:rPr>
        <w:t>三</w:t>
      </w:r>
      <w:r>
        <w:rPr>
          <w:rFonts w:ascii="Times New Roman" w:hAnsi="Times New Roman" w:eastAsia="黑体" w:cs="Times New Roman"/>
          <w:bCs/>
          <w:color w:val="auto"/>
          <w:spacing w:val="6"/>
          <w:sz w:val="32"/>
          <w:szCs w:val="32"/>
          <w:highlight w:val="none"/>
        </w:rPr>
        <w:t xml:space="preserve">章 </w:t>
      </w:r>
      <w:r>
        <w:rPr>
          <w:rFonts w:hint="eastAsia" w:ascii="Times New Roman" w:hAnsi="Times New Roman" w:eastAsia="黑体" w:cs="Times New Roman"/>
          <w:bCs/>
          <w:color w:val="auto"/>
          <w:spacing w:val="6"/>
          <w:sz w:val="32"/>
          <w:szCs w:val="32"/>
          <w:highlight w:val="none"/>
        </w:rPr>
        <w:t>资金池的管理</w:t>
      </w:r>
    </w:p>
    <w:p>
      <w:pPr>
        <w:topLinePunct/>
        <w:spacing w:line="312" w:lineRule="auto"/>
        <w:ind w:firstLine="664"/>
        <w:jc w:val="both"/>
        <w:rPr>
          <w:rFonts w:ascii="Times New Roman" w:hAnsi="Times New Roman" w:eastAsia="仿宋_GB2312" w:cs="Times New Roman"/>
          <w:snapToGrid w:val="0"/>
          <w:color w:val="auto"/>
          <w:spacing w:val="6"/>
          <w:kern w:val="0"/>
          <w:sz w:val="32"/>
          <w:szCs w:val="32"/>
          <w:highlight w:val="none"/>
        </w:rPr>
      </w:pPr>
      <w:r>
        <w:rPr>
          <w:rFonts w:ascii="Times New Roman" w:hAnsi="Times New Roman" w:eastAsia="黑体" w:cs="Times New Roman"/>
          <w:bCs/>
          <w:snapToGrid w:val="0"/>
          <w:color w:val="auto"/>
          <w:spacing w:val="6"/>
          <w:kern w:val="0"/>
          <w:sz w:val="32"/>
          <w:szCs w:val="32"/>
          <w:highlight w:val="none"/>
        </w:rPr>
        <w:t>第</w:t>
      </w:r>
      <w:r>
        <w:rPr>
          <w:rFonts w:hint="eastAsia" w:ascii="Times New Roman" w:hAnsi="Times New Roman" w:eastAsia="黑体" w:cs="Times New Roman"/>
          <w:bCs/>
          <w:snapToGrid w:val="0"/>
          <w:color w:val="auto"/>
          <w:spacing w:val="6"/>
          <w:kern w:val="0"/>
          <w:sz w:val="32"/>
          <w:szCs w:val="32"/>
          <w:highlight w:val="none"/>
          <w:lang w:val="en-US" w:eastAsia="zh-CN"/>
        </w:rPr>
        <w:t>九</w:t>
      </w:r>
      <w:r>
        <w:rPr>
          <w:rFonts w:ascii="Times New Roman" w:hAnsi="Times New Roman" w:eastAsia="黑体" w:cs="Times New Roman"/>
          <w:bCs/>
          <w:snapToGrid w:val="0"/>
          <w:color w:val="auto"/>
          <w:spacing w:val="6"/>
          <w:kern w:val="0"/>
          <w:sz w:val="32"/>
          <w:szCs w:val="32"/>
          <w:highlight w:val="none"/>
        </w:rPr>
        <w:t xml:space="preserve">条 </w:t>
      </w:r>
      <w:r>
        <w:rPr>
          <w:rFonts w:hint="eastAsia" w:ascii="Times New Roman" w:hAnsi="Times New Roman" w:eastAsia="仿宋_GB2312" w:cs="Times New Roman"/>
          <w:snapToGrid w:val="0"/>
          <w:color w:val="auto"/>
          <w:spacing w:val="6"/>
          <w:kern w:val="0"/>
          <w:sz w:val="32"/>
          <w:szCs w:val="32"/>
          <w:highlight w:val="none"/>
        </w:rPr>
        <w:t>区经科局负责如下工作：</w:t>
      </w:r>
    </w:p>
    <w:p>
      <w:pPr>
        <w:numPr>
          <w:ilvl w:val="0"/>
          <w:numId w:val="1"/>
        </w:numPr>
        <w:topLinePunct/>
        <w:spacing w:line="312" w:lineRule="auto"/>
        <w:ind w:firstLine="664" w:firstLineChars="200"/>
        <w:jc w:val="both"/>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负责入库企业的遴选，审核企业提供的申报材料，建立《培育库》；</w:t>
      </w:r>
    </w:p>
    <w:p>
      <w:pPr>
        <w:numPr>
          <w:ilvl w:val="0"/>
          <w:numId w:val="1"/>
        </w:numPr>
        <w:topLinePunct/>
        <w:spacing w:line="312" w:lineRule="auto"/>
        <w:ind w:firstLine="664" w:firstLineChars="200"/>
        <w:jc w:val="both"/>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管理监督担保金的使用、调拨、核算以及补偿等；</w:t>
      </w:r>
    </w:p>
    <w:p>
      <w:pPr>
        <w:numPr>
          <w:ilvl w:val="0"/>
          <w:numId w:val="1"/>
        </w:numPr>
        <w:topLinePunct/>
        <w:spacing w:line="312" w:lineRule="auto"/>
        <w:ind w:firstLine="664" w:firstLineChars="200"/>
        <w:jc w:val="both"/>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对信贷业务的运作进行监督检查，直接或委托第三方中介机构进行检查、审计或开展绩效评价；</w:t>
      </w:r>
    </w:p>
    <w:p>
      <w:pPr>
        <w:numPr>
          <w:ilvl w:val="0"/>
          <w:numId w:val="1"/>
        </w:numPr>
        <w:topLinePunct/>
        <w:spacing w:line="312" w:lineRule="auto"/>
        <w:ind w:firstLine="664" w:firstLineChars="200"/>
        <w:jc w:val="both"/>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其他相关工作。</w:t>
      </w:r>
    </w:p>
    <w:p>
      <w:pPr>
        <w:topLinePunct/>
        <w:spacing w:line="312" w:lineRule="auto"/>
        <w:ind w:firstLine="664"/>
        <w:jc w:val="both"/>
        <w:rPr>
          <w:rFonts w:ascii="Times New Roman" w:hAnsi="Times New Roman" w:eastAsia="仿宋_GB2312" w:cs="Times New Roman"/>
          <w:snapToGrid w:val="0"/>
          <w:color w:val="auto"/>
          <w:spacing w:val="6"/>
          <w:kern w:val="0"/>
          <w:sz w:val="32"/>
          <w:szCs w:val="32"/>
          <w:highlight w:val="none"/>
        </w:rPr>
      </w:pPr>
      <w:r>
        <w:rPr>
          <w:rFonts w:ascii="Times New Roman" w:hAnsi="Times New Roman" w:eastAsia="黑体" w:cs="Times New Roman"/>
          <w:bCs/>
          <w:snapToGrid w:val="0"/>
          <w:color w:val="auto"/>
          <w:spacing w:val="6"/>
          <w:kern w:val="0"/>
          <w:sz w:val="32"/>
          <w:szCs w:val="32"/>
          <w:highlight w:val="none"/>
        </w:rPr>
        <w:t>第</w:t>
      </w:r>
      <w:r>
        <w:rPr>
          <w:rFonts w:hint="eastAsia" w:ascii="Times New Roman" w:hAnsi="Times New Roman" w:eastAsia="黑体" w:cs="Times New Roman"/>
          <w:bCs/>
          <w:snapToGrid w:val="0"/>
          <w:color w:val="auto"/>
          <w:spacing w:val="6"/>
          <w:kern w:val="0"/>
          <w:sz w:val="32"/>
          <w:szCs w:val="32"/>
          <w:highlight w:val="none"/>
        </w:rPr>
        <w:t>十</w:t>
      </w:r>
      <w:r>
        <w:rPr>
          <w:rFonts w:ascii="Times New Roman" w:hAnsi="Times New Roman" w:eastAsia="黑体" w:cs="Times New Roman"/>
          <w:bCs/>
          <w:snapToGrid w:val="0"/>
          <w:color w:val="auto"/>
          <w:spacing w:val="6"/>
          <w:kern w:val="0"/>
          <w:sz w:val="32"/>
          <w:szCs w:val="32"/>
          <w:highlight w:val="none"/>
        </w:rPr>
        <w:t xml:space="preserve">条 </w:t>
      </w:r>
      <w:r>
        <w:rPr>
          <w:rFonts w:hint="eastAsia" w:ascii="Times New Roman" w:hAnsi="Times New Roman" w:eastAsia="仿宋_GB2312" w:cs="Times New Roman"/>
          <w:snapToGrid w:val="0"/>
          <w:color w:val="auto"/>
          <w:spacing w:val="6"/>
          <w:kern w:val="0"/>
          <w:sz w:val="32"/>
          <w:szCs w:val="32"/>
          <w:highlight w:val="none"/>
        </w:rPr>
        <w:t>区经科局委托区金融中心负责如下工作：</w:t>
      </w:r>
    </w:p>
    <w:p>
      <w:pPr>
        <w:numPr>
          <w:ilvl w:val="0"/>
          <w:numId w:val="2"/>
        </w:numPr>
        <w:topLinePunct/>
        <w:spacing w:line="312" w:lineRule="auto"/>
        <w:ind w:firstLine="664" w:firstLineChars="200"/>
        <w:jc w:val="both"/>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受理合作银行申报的合作方案申请并进行初步审核，报请区经科局审定；</w:t>
      </w:r>
    </w:p>
    <w:p>
      <w:pPr>
        <w:numPr>
          <w:ilvl w:val="0"/>
          <w:numId w:val="2"/>
        </w:numPr>
        <w:topLinePunct/>
        <w:spacing w:line="312" w:lineRule="auto"/>
        <w:ind w:firstLine="664" w:firstLineChars="200"/>
        <w:jc w:val="both"/>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对区内企业提交的入库申请材料进行初步审核，报请区经科局审定；</w:t>
      </w:r>
    </w:p>
    <w:p>
      <w:pPr>
        <w:numPr>
          <w:ilvl w:val="0"/>
          <w:numId w:val="2"/>
        </w:numPr>
        <w:topLinePunct/>
        <w:spacing w:line="312" w:lineRule="auto"/>
        <w:ind w:firstLine="664" w:firstLineChars="200"/>
        <w:jc w:val="both"/>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在区科技金融综合服务平台（下称：区服务平台）发布和更新内容，包括合作银行的金融产品、《培育库》内企业的融资需求等；</w:t>
      </w:r>
    </w:p>
    <w:p>
      <w:pPr>
        <w:numPr>
          <w:ilvl w:val="0"/>
          <w:numId w:val="2"/>
        </w:numPr>
        <w:topLinePunct/>
        <w:spacing w:line="312" w:lineRule="auto"/>
        <w:ind w:firstLine="664" w:firstLineChars="200"/>
        <w:jc w:val="both"/>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协助区经科局跟踪、统计信贷业务开展情况，协助对信贷业务进行绩效评价；</w:t>
      </w:r>
    </w:p>
    <w:p>
      <w:pPr>
        <w:numPr>
          <w:ilvl w:val="0"/>
          <w:numId w:val="2"/>
        </w:numPr>
        <w:topLinePunct/>
        <w:spacing w:line="312" w:lineRule="auto"/>
        <w:ind w:firstLine="664" w:firstLineChars="200"/>
        <w:jc w:val="both"/>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其他相关工作。</w:t>
      </w:r>
    </w:p>
    <w:p>
      <w:pPr>
        <w:topLinePunct/>
        <w:spacing w:line="312" w:lineRule="auto"/>
        <w:ind w:firstLine="664" w:firstLineChars="200"/>
        <w:jc w:val="both"/>
        <w:rPr>
          <w:rFonts w:ascii="Times New Roman" w:hAnsi="Times New Roman" w:eastAsia="仿宋_GB2312" w:cs="Times New Roman"/>
          <w:snapToGrid w:val="0"/>
          <w:color w:val="auto"/>
          <w:spacing w:val="6"/>
          <w:kern w:val="0"/>
          <w:sz w:val="32"/>
          <w:szCs w:val="32"/>
          <w:highlight w:val="none"/>
        </w:rPr>
      </w:pPr>
      <w:r>
        <w:rPr>
          <w:rFonts w:ascii="Times New Roman" w:hAnsi="Times New Roman" w:eastAsia="黑体" w:cs="Times New Roman"/>
          <w:bCs/>
          <w:snapToGrid w:val="0"/>
          <w:color w:val="auto"/>
          <w:spacing w:val="6"/>
          <w:kern w:val="0"/>
          <w:sz w:val="32"/>
          <w:szCs w:val="32"/>
          <w:highlight w:val="none"/>
        </w:rPr>
        <w:t>第</w:t>
      </w:r>
      <w:r>
        <w:rPr>
          <w:rFonts w:hint="eastAsia" w:ascii="Times New Roman" w:hAnsi="Times New Roman" w:eastAsia="黑体" w:cs="Times New Roman"/>
          <w:bCs/>
          <w:snapToGrid w:val="0"/>
          <w:color w:val="auto"/>
          <w:spacing w:val="6"/>
          <w:kern w:val="0"/>
          <w:sz w:val="32"/>
          <w:szCs w:val="32"/>
          <w:highlight w:val="none"/>
        </w:rPr>
        <w:t>十</w:t>
      </w:r>
      <w:r>
        <w:rPr>
          <w:rFonts w:hint="eastAsia" w:ascii="Times New Roman" w:hAnsi="Times New Roman" w:eastAsia="黑体" w:cs="Times New Roman"/>
          <w:bCs/>
          <w:snapToGrid w:val="0"/>
          <w:color w:val="auto"/>
          <w:spacing w:val="6"/>
          <w:kern w:val="0"/>
          <w:sz w:val="32"/>
          <w:szCs w:val="32"/>
          <w:highlight w:val="none"/>
          <w:lang w:val="en-US" w:eastAsia="zh-CN"/>
        </w:rPr>
        <w:t>一</w:t>
      </w:r>
      <w:r>
        <w:rPr>
          <w:rFonts w:ascii="Times New Roman" w:hAnsi="Times New Roman" w:eastAsia="黑体" w:cs="Times New Roman"/>
          <w:bCs/>
          <w:snapToGrid w:val="0"/>
          <w:color w:val="auto"/>
          <w:spacing w:val="6"/>
          <w:kern w:val="0"/>
          <w:sz w:val="32"/>
          <w:szCs w:val="32"/>
          <w:highlight w:val="none"/>
        </w:rPr>
        <w:t xml:space="preserve">条 </w:t>
      </w:r>
      <w:r>
        <w:rPr>
          <w:rFonts w:hint="eastAsia" w:ascii="Times New Roman" w:hAnsi="Times New Roman" w:eastAsia="仿宋_GB2312" w:cs="Times New Roman"/>
          <w:snapToGrid w:val="0"/>
          <w:color w:val="auto"/>
          <w:spacing w:val="6"/>
          <w:kern w:val="0"/>
          <w:sz w:val="32"/>
          <w:szCs w:val="32"/>
          <w:highlight w:val="none"/>
        </w:rPr>
        <w:t>区经科局委托受托管理机构对担保金进行管理，负责如下工作：</w:t>
      </w:r>
    </w:p>
    <w:p>
      <w:pPr>
        <w:topLinePunct/>
        <w:spacing w:line="312" w:lineRule="auto"/>
        <w:ind w:firstLine="664" w:firstLineChars="200"/>
        <w:jc w:val="both"/>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（一）开立担保金母、子账户，并负责账户管理及资金核算管理；</w:t>
      </w:r>
    </w:p>
    <w:p>
      <w:pPr>
        <w:topLinePunct/>
        <w:spacing w:line="312" w:lineRule="auto"/>
        <w:ind w:firstLine="664" w:firstLineChars="200"/>
        <w:jc w:val="both"/>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（二）根据本操作指引，负责各合作银行担保金的核定、调拨、跟踪、担保资金补偿、债务追索以及核销担保损失等具体事项。</w:t>
      </w:r>
    </w:p>
    <w:p>
      <w:pPr>
        <w:topLinePunct/>
        <w:spacing w:line="312" w:lineRule="auto"/>
        <w:ind w:firstLine="664" w:firstLineChars="200"/>
        <w:jc w:val="both"/>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（三）其他相关工作。</w:t>
      </w:r>
    </w:p>
    <w:p>
      <w:pPr>
        <w:topLinePunct/>
        <w:spacing w:line="312" w:lineRule="auto"/>
        <w:ind w:firstLine="664" w:firstLineChars="200"/>
        <w:jc w:val="both"/>
        <w:rPr>
          <w:rFonts w:ascii="Times New Roman" w:hAnsi="Times New Roman" w:eastAsia="仿宋_GB2312" w:cs="Times New Roman"/>
          <w:snapToGrid w:val="0"/>
          <w:color w:val="auto"/>
          <w:spacing w:val="6"/>
          <w:kern w:val="0"/>
          <w:sz w:val="32"/>
          <w:szCs w:val="32"/>
          <w:highlight w:val="none"/>
        </w:rPr>
      </w:pPr>
      <w:r>
        <w:rPr>
          <w:rFonts w:ascii="Times New Roman" w:hAnsi="Times New Roman" w:eastAsia="黑体" w:cs="Times New Roman"/>
          <w:bCs/>
          <w:snapToGrid w:val="0"/>
          <w:color w:val="auto"/>
          <w:spacing w:val="6"/>
          <w:kern w:val="0"/>
          <w:sz w:val="32"/>
          <w:szCs w:val="32"/>
          <w:highlight w:val="none"/>
        </w:rPr>
        <w:t>第</w:t>
      </w:r>
      <w:r>
        <w:rPr>
          <w:rFonts w:hint="eastAsia" w:ascii="Times New Roman" w:hAnsi="Times New Roman" w:eastAsia="黑体" w:cs="Times New Roman"/>
          <w:bCs/>
          <w:snapToGrid w:val="0"/>
          <w:color w:val="auto"/>
          <w:spacing w:val="6"/>
          <w:kern w:val="0"/>
          <w:sz w:val="32"/>
          <w:szCs w:val="32"/>
          <w:highlight w:val="none"/>
        </w:rPr>
        <w:t>十</w:t>
      </w:r>
      <w:r>
        <w:rPr>
          <w:rFonts w:hint="eastAsia" w:ascii="Times New Roman" w:hAnsi="Times New Roman" w:eastAsia="黑体" w:cs="Times New Roman"/>
          <w:bCs/>
          <w:snapToGrid w:val="0"/>
          <w:color w:val="auto"/>
          <w:spacing w:val="6"/>
          <w:kern w:val="0"/>
          <w:sz w:val="32"/>
          <w:szCs w:val="32"/>
          <w:highlight w:val="none"/>
          <w:lang w:val="en-US" w:eastAsia="zh-CN"/>
        </w:rPr>
        <w:t>二</w:t>
      </w:r>
      <w:r>
        <w:rPr>
          <w:rFonts w:ascii="Times New Roman" w:hAnsi="Times New Roman" w:eastAsia="黑体" w:cs="Times New Roman"/>
          <w:bCs/>
          <w:snapToGrid w:val="0"/>
          <w:color w:val="auto"/>
          <w:spacing w:val="6"/>
          <w:kern w:val="0"/>
          <w:sz w:val="32"/>
          <w:szCs w:val="32"/>
          <w:highlight w:val="none"/>
        </w:rPr>
        <w:t xml:space="preserve">条 </w:t>
      </w:r>
      <w:r>
        <w:rPr>
          <w:rFonts w:hint="eastAsia" w:ascii="Times New Roman" w:hAnsi="Times New Roman" w:eastAsia="仿宋_GB2312" w:cs="Times New Roman"/>
          <w:snapToGrid w:val="0"/>
          <w:color w:val="auto"/>
          <w:spacing w:val="6"/>
          <w:kern w:val="0"/>
          <w:sz w:val="32"/>
          <w:szCs w:val="32"/>
          <w:highlight w:val="none"/>
        </w:rPr>
        <w:t>合作银行负责如下工作：</w:t>
      </w:r>
    </w:p>
    <w:p>
      <w:pPr>
        <w:numPr>
          <w:ilvl w:val="0"/>
          <w:numId w:val="3"/>
        </w:numPr>
        <w:topLinePunct/>
        <w:spacing w:line="312" w:lineRule="auto"/>
        <w:ind w:firstLine="664" w:firstLineChars="200"/>
        <w:jc w:val="both"/>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 xml:space="preserve">作为担保金子账户的开立银行；                       </w:t>
      </w:r>
    </w:p>
    <w:p>
      <w:pPr>
        <w:numPr>
          <w:ilvl w:val="0"/>
          <w:numId w:val="3"/>
        </w:numPr>
        <w:topLinePunct/>
        <w:spacing w:line="312" w:lineRule="auto"/>
        <w:ind w:firstLine="664" w:firstLineChars="200"/>
        <w:jc w:val="both"/>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 xml:space="preserve">提供不低于担保金10倍数额的实际贷款金额，第一年为10倍，第二年开始根据需要可调整为20倍； </w:t>
      </w:r>
    </w:p>
    <w:p>
      <w:pPr>
        <w:numPr>
          <w:ilvl w:val="0"/>
          <w:numId w:val="3"/>
        </w:numPr>
        <w:topLinePunct/>
        <w:spacing w:line="312" w:lineRule="auto"/>
        <w:ind w:firstLine="664" w:firstLineChars="200"/>
        <w:jc w:val="both"/>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加大对企业的扶持力度，加强贷款风险控制，审查、发放和管理《培育库》企业信贷项目贷款；</w:t>
      </w:r>
    </w:p>
    <w:p>
      <w:pPr>
        <w:numPr>
          <w:ilvl w:val="0"/>
          <w:numId w:val="3"/>
        </w:numPr>
        <w:topLinePunct/>
        <w:spacing w:line="312" w:lineRule="auto"/>
        <w:ind w:firstLine="664" w:firstLineChars="200"/>
        <w:jc w:val="both"/>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 xml:space="preserve">负责《培育库》企业不良贷款的追收，落实诉讼，经法院或仲裁机构正式立案后，办理担保金补偿手续； </w:t>
      </w:r>
    </w:p>
    <w:p>
      <w:pPr>
        <w:numPr>
          <w:ilvl w:val="0"/>
          <w:numId w:val="3"/>
        </w:numPr>
        <w:topLinePunct/>
        <w:spacing w:line="312" w:lineRule="auto"/>
        <w:ind w:firstLine="664" w:firstLineChars="200"/>
        <w:jc w:val="both"/>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根据本操作指引，按相关比例、程序扣划、分账、审核、监督担保金子账户；</w:t>
      </w:r>
    </w:p>
    <w:p>
      <w:pPr>
        <w:numPr>
          <w:ilvl w:val="0"/>
          <w:numId w:val="3"/>
        </w:numPr>
        <w:topLinePunct/>
        <w:spacing w:line="312" w:lineRule="auto"/>
        <w:ind w:firstLine="664" w:firstLineChars="200"/>
        <w:jc w:val="both"/>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对信贷项目贷款资金使用进行追踪和监控；</w:t>
      </w:r>
    </w:p>
    <w:p>
      <w:pPr>
        <w:topLinePunct/>
        <w:spacing w:line="312" w:lineRule="auto"/>
        <w:jc w:val="both"/>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 xml:space="preserve">    （七）定期向区金融中心和区经科局报送信贷业务数据，确保报送的数据准确、真实、及时；</w:t>
      </w:r>
    </w:p>
    <w:p>
      <w:pPr>
        <w:topLinePunct/>
        <w:spacing w:line="312" w:lineRule="auto"/>
        <w:jc w:val="both"/>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 xml:space="preserve">    （八）配合对信贷业务开展绩效评价。</w:t>
      </w:r>
    </w:p>
    <w:p>
      <w:pPr>
        <w:topLinePunct/>
        <w:spacing w:line="312" w:lineRule="auto"/>
        <w:ind w:firstLine="664"/>
        <w:jc w:val="both"/>
        <w:rPr>
          <w:rFonts w:hint="eastAsia" w:ascii="Times New Roman" w:hAnsi="Times New Roman" w:eastAsia="仿宋_GB2312" w:cs="Times New Roman"/>
          <w:snapToGrid w:val="0"/>
          <w:color w:val="auto"/>
          <w:spacing w:val="6"/>
          <w:kern w:val="0"/>
          <w:sz w:val="32"/>
          <w:szCs w:val="32"/>
          <w:highlight w:val="none"/>
          <w:lang w:eastAsia="zh-CN"/>
        </w:rPr>
      </w:pPr>
      <w:r>
        <w:rPr>
          <w:rFonts w:ascii="Times New Roman" w:hAnsi="Times New Roman" w:eastAsia="黑体" w:cs="Times New Roman"/>
          <w:bCs/>
          <w:snapToGrid w:val="0"/>
          <w:color w:val="auto"/>
          <w:spacing w:val="6"/>
          <w:kern w:val="0"/>
          <w:sz w:val="32"/>
          <w:szCs w:val="32"/>
          <w:highlight w:val="none"/>
        </w:rPr>
        <w:t>第</w:t>
      </w:r>
      <w:r>
        <w:rPr>
          <w:rFonts w:hint="eastAsia" w:ascii="Times New Roman" w:hAnsi="Times New Roman" w:eastAsia="黑体" w:cs="Times New Roman"/>
          <w:bCs/>
          <w:snapToGrid w:val="0"/>
          <w:color w:val="auto"/>
          <w:spacing w:val="6"/>
          <w:kern w:val="0"/>
          <w:sz w:val="32"/>
          <w:szCs w:val="32"/>
          <w:highlight w:val="none"/>
        </w:rPr>
        <w:t>十</w:t>
      </w:r>
      <w:r>
        <w:rPr>
          <w:rFonts w:hint="eastAsia" w:ascii="Times New Roman" w:hAnsi="Times New Roman" w:eastAsia="黑体" w:cs="Times New Roman"/>
          <w:bCs/>
          <w:snapToGrid w:val="0"/>
          <w:color w:val="auto"/>
          <w:spacing w:val="6"/>
          <w:kern w:val="0"/>
          <w:sz w:val="32"/>
          <w:szCs w:val="32"/>
          <w:highlight w:val="none"/>
          <w:lang w:val="en-US" w:eastAsia="zh-CN"/>
        </w:rPr>
        <w:t>三</w:t>
      </w:r>
      <w:r>
        <w:rPr>
          <w:rFonts w:ascii="Times New Roman" w:hAnsi="Times New Roman" w:eastAsia="黑体" w:cs="Times New Roman"/>
          <w:bCs/>
          <w:snapToGrid w:val="0"/>
          <w:color w:val="auto"/>
          <w:spacing w:val="6"/>
          <w:kern w:val="0"/>
          <w:sz w:val="32"/>
          <w:szCs w:val="32"/>
          <w:highlight w:val="none"/>
        </w:rPr>
        <w:t xml:space="preserve">条 </w:t>
      </w:r>
      <w:r>
        <w:rPr>
          <w:rFonts w:hint="eastAsia" w:ascii="Times New Roman" w:hAnsi="Times New Roman" w:eastAsia="仿宋_GB2312" w:cs="Times New Roman"/>
          <w:snapToGrid w:val="0"/>
          <w:color w:val="auto"/>
          <w:spacing w:val="6"/>
          <w:kern w:val="0"/>
          <w:sz w:val="32"/>
          <w:szCs w:val="32"/>
          <w:highlight w:val="none"/>
        </w:rPr>
        <w:t>受托管理机构设立担保金母、子两个账户，母账户存放出资的全额资金池；子账户作为实际开展信贷业务的担保金</w:t>
      </w:r>
      <w:r>
        <w:rPr>
          <w:rFonts w:hint="eastAsia" w:ascii="Times New Roman" w:hAnsi="Times New Roman" w:eastAsia="仿宋_GB2312" w:cs="Times New Roman"/>
          <w:snapToGrid w:val="0"/>
          <w:color w:val="auto"/>
          <w:spacing w:val="6"/>
          <w:kern w:val="0"/>
          <w:sz w:val="32"/>
          <w:szCs w:val="32"/>
          <w:highlight w:val="none"/>
          <w:lang w:eastAsia="zh-CN"/>
        </w:rPr>
        <w:t>。</w:t>
      </w:r>
    </w:p>
    <w:p>
      <w:pPr>
        <w:topLinePunct/>
        <w:spacing w:line="312" w:lineRule="auto"/>
        <w:ind w:firstLine="664"/>
        <w:jc w:val="both"/>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受托管理机构存入、补充和处置担保金前，应向区经科局申报备案。</w:t>
      </w:r>
    </w:p>
    <w:p>
      <w:pPr>
        <w:topLinePunct/>
        <w:spacing w:line="312" w:lineRule="auto"/>
        <w:ind w:firstLine="664"/>
        <w:jc w:val="both"/>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担保金专款专用，单独列账，受托管理机构指定专人管理担保金母、子账户和会计账务。</w:t>
      </w:r>
    </w:p>
    <w:p>
      <w:pPr>
        <w:topLinePunct/>
        <w:spacing w:line="312" w:lineRule="auto"/>
        <w:ind w:firstLine="664"/>
        <w:jc w:val="both"/>
        <w:rPr>
          <w:rFonts w:ascii="Times New Roman" w:hAnsi="Times New Roman" w:eastAsia="仿宋_GB2312" w:cs="Times New Roman"/>
          <w:snapToGrid w:val="0"/>
          <w:color w:val="auto"/>
          <w:spacing w:val="6"/>
          <w:kern w:val="0"/>
          <w:sz w:val="32"/>
          <w:szCs w:val="32"/>
          <w:highlight w:val="none"/>
        </w:rPr>
      </w:pPr>
      <w:r>
        <w:rPr>
          <w:rFonts w:hint="eastAsia" w:ascii="仿宋_GB2312" w:hAnsi="仿宋_GB2312" w:eastAsia="仿宋_GB2312" w:cs="仿宋_GB2312"/>
          <w:color w:val="auto"/>
          <w:kern w:val="0"/>
          <w:sz w:val="32"/>
          <w:szCs w:val="28"/>
          <w:highlight w:val="none"/>
        </w:rPr>
        <w:t>担保金所产生的利息净收入可作为受托管理机构受托管理信贷业务的补贴，经区经科局同意后由受托管理机构结算提取。</w:t>
      </w:r>
    </w:p>
    <w:p>
      <w:pPr>
        <w:topLinePunct/>
        <w:spacing w:line="312" w:lineRule="auto"/>
        <w:ind w:firstLine="664"/>
        <w:jc w:val="both"/>
        <w:rPr>
          <w:rFonts w:hint="eastAsia" w:ascii="Times New Roman" w:hAnsi="Times New Roman" w:eastAsia="仿宋_GB2312" w:cs="Times New Roman"/>
          <w:snapToGrid w:val="0"/>
          <w:color w:val="auto"/>
          <w:spacing w:val="6"/>
          <w:kern w:val="0"/>
          <w:sz w:val="32"/>
          <w:szCs w:val="32"/>
          <w:highlight w:val="none"/>
        </w:rPr>
      </w:pPr>
      <w:r>
        <w:rPr>
          <w:rFonts w:ascii="Times New Roman" w:hAnsi="Times New Roman" w:eastAsia="黑体" w:cs="Times New Roman"/>
          <w:bCs/>
          <w:snapToGrid w:val="0"/>
          <w:color w:val="auto"/>
          <w:spacing w:val="6"/>
          <w:kern w:val="0"/>
          <w:sz w:val="32"/>
          <w:szCs w:val="32"/>
          <w:highlight w:val="none"/>
        </w:rPr>
        <w:t>第</w:t>
      </w:r>
      <w:r>
        <w:rPr>
          <w:rFonts w:hint="eastAsia" w:ascii="Times New Roman" w:hAnsi="Times New Roman" w:eastAsia="黑体" w:cs="Times New Roman"/>
          <w:bCs/>
          <w:snapToGrid w:val="0"/>
          <w:color w:val="auto"/>
          <w:spacing w:val="6"/>
          <w:kern w:val="0"/>
          <w:sz w:val="32"/>
          <w:szCs w:val="32"/>
          <w:highlight w:val="none"/>
        </w:rPr>
        <w:t>十</w:t>
      </w:r>
      <w:r>
        <w:rPr>
          <w:rFonts w:hint="eastAsia" w:ascii="Times New Roman" w:hAnsi="Times New Roman" w:eastAsia="黑体" w:cs="Times New Roman"/>
          <w:bCs/>
          <w:snapToGrid w:val="0"/>
          <w:color w:val="auto"/>
          <w:spacing w:val="6"/>
          <w:kern w:val="0"/>
          <w:sz w:val="32"/>
          <w:szCs w:val="32"/>
          <w:highlight w:val="none"/>
          <w:lang w:val="en-US" w:eastAsia="zh-CN"/>
        </w:rPr>
        <w:t>四</w:t>
      </w:r>
      <w:r>
        <w:rPr>
          <w:rFonts w:ascii="Times New Roman" w:hAnsi="Times New Roman" w:eastAsia="黑体" w:cs="Times New Roman"/>
          <w:bCs/>
          <w:snapToGrid w:val="0"/>
          <w:color w:val="auto"/>
          <w:spacing w:val="6"/>
          <w:kern w:val="0"/>
          <w:sz w:val="32"/>
          <w:szCs w:val="32"/>
          <w:highlight w:val="none"/>
        </w:rPr>
        <w:t xml:space="preserve">条 </w:t>
      </w:r>
      <w:r>
        <w:rPr>
          <w:rFonts w:hint="eastAsia" w:ascii="Times New Roman" w:hAnsi="Times New Roman" w:eastAsia="仿宋_GB2312" w:cs="Times New Roman"/>
          <w:snapToGrid w:val="0"/>
          <w:color w:val="auto"/>
          <w:spacing w:val="6"/>
          <w:kern w:val="0"/>
          <w:sz w:val="32"/>
          <w:szCs w:val="32"/>
          <w:highlight w:val="none"/>
        </w:rPr>
        <w:t>担保金子账户管理方式如下：</w:t>
      </w:r>
    </w:p>
    <w:p>
      <w:pPr>
        <w:topLinePunct/>
        <w:spacing w:line="312" w:lineRule="auto"/>
        <w:ind w:firstLine="664"/>
        <w:jc w:val="both"/>
        <w:rPr>
          <w:rFonts w:hint="eastAsia"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一）受托管理机构在合作银行设立担保金子账户，每季度根据上季度信贷业务实际发生额度，第一年按10%的比例核算是否补充担保金，并相应从担保金母账户调拨至子账户。如存放合作银行的担保金余额少于上季度末信贷余额的10%，则按差额补充资金；如存放合作银行的担保金余额等于</w:t>
      </w:r>
      <w:r>
        <w:rPr>
          <w:rFonts w:hint="eastAsia" w:ascii="Times New Roman" w:hAnsi="Times New Roman" w:eastAsia="仿宋_GB2312" w:cs="Times New Roman"/>
          <w:snapToGrid w:val="0"/>
          <w:color w:val="auto"/>
          <w:spacing w:val="6"/>
          <w:kern w:val="0"/>
          <w:sz w:val="32"/>
          <w:szCs w:val="32"/>
          <w:highlight w:val="none"/>
          <w:lang w:val="en-US" w:eastAsia="zh-CN"/>
        </w:rPr>
        <w:t>或</w:t>
      </w:r>
      <w:r>
        <w:rPr>
          <w:rFonts w:hint="eastAsia" w:ascii="Times New Roman" w:hAnsi="Times New Roman" w:eastAsia="仿宋_GB2312" w:cs="Times New Roman"/>
          <w:snapToGrid w:val="0"/>
          <w:color w:val="auto"/>
          <w:spacing w:val="6"/>
          <w:kern w:val="0"/>
          <w:sz w:val="32"/>
          <w:szCs w:val="32"/>
          <w:highlight w:val="none"/>
        </w:rPr>
        <w:t>多于上季度末信贷余额的10%，则暂停补充资金。第二年按照调整后的倍数进行相应核算。</w:t>
      </w:r>
    </w:p>
    <w:p>
      <w:pPr>
        <w:topLinePunct/>
        <w:spacing w:line="312" w:lineRule="auto"/>
        <w:ind w:firstLine="664"/>
        <w:jc w:val="both"/>
        <w:rPr>
          <w:rFonts w:hint="eastAsia"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（二）合作银行应于每年1月、4月、7月、10月初的7个工作日内向受托管理机构申请补充担保金。受托管理机构收到申请后10个工作日内完成审核</w:t>
      </w:r>
      <w:r>
        <w:rPr>
          <w:rFonts w:hint="eastAsia" w:ascii="Times New Roman" w:hAnsi="Times New Roman" w:eastAsia="仿宋_GB2312" w:cs="Times New Roman"/>
          <w:snapToGrid w:val="0"/>
          <w:color w:val="auto"/>
          <w:spacing w:val="6"/>
          <w:kern w:val="0"/>
          <w:sz w:val="32"/>
          <w:szCs w:val="32"/>
          <w:highlight w:val="none"/>
          <w:lang w:val="en-US" w:eastAsia="zh-CN"/>
        </w:rPr>
        <w:t>向区经科局申报备案同意后</w:t>
      </w:r>
      <w:r>
        <w:rPr>
          <w:rFonts w:hint="eastAsia" w:ascii="Times New Roman" w:hAnsi="Times New Roman" w:eastAsia="仿宋_GB2312" w:cs="Times New Roman"/>
          <w:snapToGrid w:val="0"/>
          <w:color w:val="auto"/>
          <w:spacing w:val="6"/>
          <w:kern w:val="0"/>
          <w:sz w:val="32"/>
          <w:szCs w:val="32"/>
          <w:highlight w:val="none"/>
        </w:rPr>
        <w:t>拨付合作银行。各合作银行的担保金总额以担保金出资总规模为限。</w:t>
      </w:r>
    </w:p>
    <w:p>
      <w:pPr>
        <w:topLinePunct/>
        <w:spacing w:line="312" w:lineRule="auto"/>
        <w:ind w:firstLine="664"/>
        <w:jc w:val="both"/>
        <w:rPr>
          <w:rFonts w:hint="eastAsia"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非合作银行发放的贷款以及违反法律法规发放的贷款项目不属于风险补偿范围。</w:t>
      </w:r>
    </w:p>
    <w:p>
      <w:pPr>
        <w:topLinePunct/>
        <w:spacing w:line="312" w:lineRule="auto"/>
        <w:ind w:firstLine="664"/>
        <w:jc w:val="both"/>
        <w:rPr>
          <w:rFonts w:hint="eastAsia"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三）受托管理机构每半年根据各合作银行实际发放的信贷业务情况调整每家银行担保金。对信贷余额达不到本行存放担保金10倍的合作银行，由受托管理机构报请区经科局审定后，按规定将超出的担保金收回母账户或转至担保金不足的合作银行。</w:t>
      </w:r>
    </w:p>
    <w:p>
      <w:pPr>
        <w:topLinePunct/>
        <w:spacing w:line="312" w:lineRule="auto"/>
        <w:ind w:firstLine="664"/>
        <w:jc w:val="both"/>
        <w:rPr>
          <w:rFonts w:hint="eastAsia"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（四）如拨付至各合作银行的担保金总额已达担保金出资总规模，且暂无法释放出担保金覆盖新增的信贷所需担保金，则合作银行暂停开展信贷业务，按普通贷款审批发放，待有额度后再开展信贷业务。</w:t>
      </w:r>
    </w:p>
    <w:p>
      <w:pPr>
        <w:spacing w:line="312" w:lineRule="auto"/>
        <w:ind w:firstLine="664"/>
        <w:jc w:val="both"/>
        <w:rPr>
          <w:rFonts w:hint="eastAsia" w:ascii="Times New Roman" w:hAnsi="Times New Roman" w:eastAsia="仿宋_GB2312" w:cs="Times New Roman"/>
          <w:snapToGrid w:val="0"/>
          <w:color w:val="auto"/>
          <w:spacing w:val="6"/>
          <w:kern w:val="0"/>
          <w:sz w:val="32"/>
          <w:szCs w:val="32"/>
          <w:highlight w:val="none"/>
        </w:rPr>
      </w:pPr>
      <w:r>
        <w:rPr>
          <w:rFonts w:ascii="Times New Roman" w:hAnsi="Times New Roman" w:eastAsia="黑体" w:cs="Times New Roman"/>
          <w:bCs/>
          <w:color w:val="auto"/>
          <w:spacing w:val="6"/>
          <w:sz w:val="32"/>
          <w:szCs w:val="32"/>
          <w:highlight w:val="none"/>
        </w:rPr>
        <w:t>第</w:t>
      </w:r>
      <w:r>
        <w:rPr>
          <w:rFonts w:hint="eastAsia" w:ascii="Times New Roman" w:hAnsi="Times New Roman" w:eastAsia="黑体" w:cs="Times New Roman"/>
          <w:bCs/>
          <w:color w:val="auto"/>
          <w:spacing w:val="6"/>
          <w:sz w:val="32"/>
          <w:szCs w:val="32"/>
          <w:highlight w:val="none"/>
        </w:rPr>
        <w:t>十</w:t>
      </w:r>
      <w:r>
        <w:rPr>
          <w:rFonts w:hint="eastAsia" w:ascii="Times New Roman" w:hAnsi="Times New Roman" w:eastAsia="黑体" w:cs="Times New Roman"/>
          <w:bCs/>
          <w:color w:val="auto"/>
          <w:spacing w:val="6"/>
          <w:sz w:val="32"/>
          <w:szCs w:val="32"/>
          <w:highlight w:val="none"/>
          <w:lang w:val="en-US" w:eastAsia="zh-CN"/>
        </w:rPr>
        <w:t>五</w:t>
      </w:r>
      <w:r>
        <w:rPr>
          <w:rFonts w:ascii="Times New Roman" w:hAnsi="Times New Roman" w:eastAsia="黑体" w:cs="Times New Roman"/>
          <w:bCs/>
          <w:color w:val="auto"/>
          <w:spacing w:val="6"/>
          <w:sz w:val="32"/>
          <w:szCs w:val="32"/>
          <w:highlight w:val="none"/>
        </w:rPr>
        <w:t xml:space="preserve">条 </w:t>
      </w:r>
      <w:r>
        <w:rPr>
          <w:rFonts w:hint="eastAsia" w:ascii="Times New Roman" w:hAnsi="Times New Roman" w:eastAsia="仿宋_GB2312" w:cs="Times New Roman"/>
          <w:snapToGrid w:val="0"/>
          <w:color w:val="auto"/>
          <w:spacing w:val="6"/>
          <w:kern w:val="0"/>
          <w:sz w:val="32"/>
          <w:szCs w:val="32"/>
          <w:highlight w:val="none"/>
        </w:rPr>
        <w:t>担保金风险分摊比例如下：</w:t>
      </w:r>
    </w:p>
    <w:tbl>
      <w:tblPr>
        <w:tblStyle w:val="6"/>
        <w:tblW w:w="8949" w:type="dxa"/>
        <w:jc w:val="center"/>
        <w:tblLayout w:type="fixed"/>
        <w:tblCellMar>
          <w:top w:w="0" w:type="dxa"/>
          <w:left w:w="108" w:type="dxa"/>
          <w:bottom w:w="0" w:type="dxa"/>
          <w:right w:w="108" w:type="dxa"/>
        </w:tblCellMar>
      </w:tblPr>
      <w:tblGrid>
        <w:gridCol w:w="1160"/>
        <w:gridCol w:w="1660"/>
        <w:gridCol w:w="2080"/>
        <w:gridCol w:w="1520"/>
        <w:gridCol w:w="1389"/>
        <w:gridCol w:w="1140"/>
      </w:tblGrid>
      <w:tr>
        <w:tblPrEx>
          <w:tblCellMar>
            <w:top w:w="0" w:type="dxa"/>
            <w:left w:w="108" w:type="dxa"/>
            <w:bottom w:w="0" w:type="dxa"/>
            <w:right w:w="108" w:type="dxa"/>
          </w:tblCellMar>
        </w:tblPrEx>
        <w:trPr>
          <w:trHeight w:val="1035" w:hRule="atLeast"/>
          <w:jc w:val="center"/>
        </w:trPr>
        <w:tc>
          <w:tcPr>
            <w:tcW w:w="1160" w:type="dxa"/>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仿宋_GB2312" w:hAnsi="宋体" w:eastAsia="仿宋_GB2312" w:cs="宋体"/>
                <w:b/>
                <w:bCs/>
                <w:color w:val="auto"/>
                <w:kern w:val="0"/>
                <w:sz w:val="22"/>
                <w:highlight w:val="none"/>
              </w:rPr>
            </w:pPr>
            <w:r>
              <w:rPr>
                <w:rFonts w:hint="eastAsia" w:ascii="仿宋_GB2312" w:hAnsi="宋体" w:eastAsia="仿宋_GB2312" w:cs="宋体"/>
                <w:b/>
                <w:bCs/>
                <w:color w:val="auto"/>
                <w:kern w:val="0"/>
                <w:sz w:val="22"/>
                <w:highlight w:val="none"/>
              </w:rPr>
              <w:t>分摊类别</w:t>
            </w:r>
          </w:p>
        </w:tc>
        <w:tc>
          <w:tcPr>
            <w:tcW w:w="1660" w:type="dxa"/>
            <w:tcBorders>
              <w:top w:val="single" w:color="auto" w:sz="4" w:space="0"/>
              <w:left w:val="nil"/>
              <w:bottom w:val="nil"/>
              <w:right w:val="single" w:color="auto" w:sz="4" w:space="0"/>
            </w:tcBorders>
            <w:shd w:val="clear" w:color="000000" w:fill="FFFFFF"/>
            <w:vAlign w:val="center"/>
          </w:tcPr>
          <w:p>
            <w:pPr>
              <w:widowControl/>
              <w:jc w:val="center"/>
              <w:rPr>
                <w:rFonts w:ascii="仿宋_GB2312" w:hAnsi="宋体" w:eastAsia="仿宋_GB2312" w:cs="宋体"/>
                <w:b/>
                <w:bCs/>
                <w:color w:val="auto"/>
                <w:kern w:val="0"/>
                <w:sz w:val="22"/>
                <w:highlight w:val="none"/>
              </w:rPr>
            </w:pPr>
            <w:r>
              <w:rPr>
                <w:rFonts w:hint="eastAsia" w:ascii="仿宋_GB2312" w:hAnsi="宋体" w:eastAsia="仿宋_GB2312" w:cs="宋体"/>
                <w:b/>
                <w:bCs/>
                <w:color w:val="auto"/>
                <w:kern w:val="0"/>
                <w:sz w:val="22"/>
                <w:highlight w:val="none"/>
              </w:rPr>
              <w:t>单一客户最高贷款额(万元)</w:t>
            </w:r>
          </w:p>
        </w:tc>
        <w:tc>
          <w:tcPr>
            <w:tcW w:w="2080" w:type="dxa"/>
            <w:tcBorders>
              <w:top w:val="single" w:color="auto" w:sz="4" w:space="0"/>
              <w:left w:val="nil"/>
              <w:bottom w:val="nil"/>
              <w:right w:val="single" w:color="auto" w:sz="4" w:space="0"/>
            </w:tcBorders>
            <w:shd w:val="clear" w:color="000000" w:fill="FFFFFF"/>
            <w:vAlign w:val="center"/>
          </w:tcPr>
          <w:p>
            <w:pPr>
              <w:widowControl/>
              <w:jc w:val="center"/>
              <w:rPr>
                <w:rFonts w:ascii="仿宋_GB2312" w:hAnsi="宋体" w:eastAsia="仿宋_GB2312" w:cs="宋体"/>
                <w:b/>
                <w:bCs/>
                <w:color w:val="auto"/>
                <w:kern w:val="0"/>
                <w:sz w:val="22"/>
                <w:highlight w:val="none"/>
              </w:rPr>
            </w:pPr>
            <w:r>
              <w:rPr>
                <w:rFonts w:hint="eastAsia" w:ascii="仿宋_GB2312" w:hAnsi="宋体" w:eastAsia="仿宋_GB2312" w:cs="宋体"/>
                <w:b/>
                <w:bCs/>
                <w:color w:val="auto"/>
                <w:kern w:val="0"/>
                <w:sz w:val="22"/>
                <w:highlight w:val="none"/>
              </w:rPr>
              <w:t>对应担保条件</w:t>
            </w:r>
          </w:p>
        </w:tc>
        <w:tc>
          <w:tcPr>
            <w:tcW w:w="1520" w:type="dxa"/>
            <w:tcBorders>
              <w:top w:val="single" w:color="auto" w:sz="4" w:space="0"/>
              <w:left w:val="nil"/>
              <w:bottom w:val="nil"/>
              <w:right w:val="single" w:color="auto" w:sz="4" w:space="0"/>
            </w:tcBorders>
            <w:shd w:val="clear" w:color="000000" w:fill="FFFFFF"/>
            <w:vAlign w:val="center"/>
          </w:tcPr>
          <w:p>
            <w:pPr>
              <w:widowControl/>
              <w:jc w:val="center"/>
              <w:rPr>
                <w:rFonts w:ascii="仿宋_GB2312" w:hAnsi="宋体" w:eastAsia="仿宋_GB2312" w:cs="宋体"/>
                <w:b/>
                <w:bCs/>
                <w:color w:val="auto"/>
                <w:kern w:val="0"/>
                <w:sz w:val="22"/>
                <w:highlight w:val="none"/>
              </w:rPr>
            </w:pPr>
            <w:r>
              <w:rPr>
                <w:rFonts w:hint="eastAsia" w:ascii="仿宋_GB2312" w:hAnsi="宋体" w:eastAsia="仿宋_GB2312" w:cs="宋体"/>
                <w:b/>
                <w:bCs/>
                <w:color w:val="auto"/>
                <w:kern w:val="0"/>
                <w:sz w:val="22"/>
                <w:highlight w:val="none"/>
              </w:rPr>
              <w:t>银行分摊       占比（%）</w:t>
            </w:r>
          </w:p>
        </w:tc>
        <w:tc>
          <w:tcPr>
            <w:tcW w:w="138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b/>
                <w:bCs/>
                <w:color w:val="auto"/>
                <w:kern w:val="0"/>
                <w:sz w:val="22"/>
                <w:highlight w:val="none"/>
              </w:rPr>
            </w:pPr>
            <w:r>
              <w:rPr>
                <w:rFonts w:hint="eastAsia" w:ascii="仿宋_GB2312" w:hAnsi="宋体" w:eastAsia="仿宋_GB2312" w:cs="宋体"/>
                <w:b/>
                <w:bCs/>
                <w:color w:val="auto"/>
                <w:kern w:val="0"/>
                <w:sz w:val="22"/>
                <w:highlight w:val="none"/>
              </w:rPr>
              <w:t>担保金分摊    占比（%）</w:t>
            </w:r>
          </w:p>
        </w:tc>
        <w:tc>
          <w:tcPr>
            <w:tcW w:w="11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宋体" w:eastAsia="仿宋_GB2312" w:cs="宋体"/>
                <w:b/>
                <w:bCs/>
                <w:color w:val="auto"/>
                <w:kern w:val="0"/>
                <w:sz w:val="22"/>
                <w:highlight w:val="none"/>
              </w:rPr>
            </w:pPr>
            <w:r>
              <w:rPr>
                <w:rFonts w:hint="eastAsia" w:ascii="仿宋_GB2312" w:hAnsi="宋体" w:eastAsia="仿宋_GB2312" w:cs="宋体"/>
                <w:b/>
                <w:bCs/>
                <w:color w:val="auto"/>
                <w:kern w:val="0"/>
                <w:sz w:val="22"/>
                <w:highlight w:val="none"/>
              </w:rPr>
              <w:t>担保金最高承担金额（万元）</w:t>
            </w:r>
          </w:p>
        </w:tc>
      </w:tr>
      <w:tr>
        <w:tblPrEx>
          <w:tblCellMar>
            <w:top w:w="0" w:type="dxa"/>
            <w:left w:w="108" w:type="dxa"/>
            <w:bottom w:w="0" w:type="dxa"/>
            <w:right w:w="108" w:type="dxa"/>
          </w:tblCellMar>
        </w:tblPrEx>
        <w:trPr>
          <w:trHeight w:val="675" w:hRule="atLeast"/>
          <w:jc w:val="center"/>
        </w:trPr>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一</w:t>
            </w:r>
          </w:p>
        </w:tc>
        <w:tc>
          <w:tcPr>
            <w:tcW w:w="1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500</w:t>
            </w:r>
          </w:p>
        </w:tc>
        <w:tc>
          <w:tcPr>
            <w:tcW w:w="2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信用</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w:t>
            </w:r>
          </w:p>
        </w:tc>
        <w:tc>
          <w:tcPr>
            <w:tcW w:w="138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80</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400</w:t>
            </w:r>
          </w:p>
        </w:tc>
      </w:tr>
      <w:tr>
        <w:tblPrEx>
          <w:tblCellMar>
            <w:top w:w="0" w:type="dxa"/>
            <w:left w:w="108" w:type="dxa"/>
            <w:bottom w:w="0" w:type="dxa"/>
            <w:right w:w="108" w:type="dxa"/>
          </w:tblCellMar>
        </w:tblPrEx>
        <w:trPr>
          <w:trHeight w:val="975" w:hRule="atLeast"/>
          <w:jc w:val="center"/>
        </w:trPr>
        <w:tc>
          <w:tcPr>
            <w:tcW w:w="1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二</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500</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知识产权（含发明专利/实用新型专利）</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30</w:t>
            </w:r>
          </w:p>
        </w:tc>
        <w:tc>
          <w:tcPr>
            <w:tcW w:w="138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70</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350</w:t>
            </w:r>
          </w:p>
        </w:tc>
      </w:tr>
      <w:tr>
        <w:tblPrEx>
          <w:tblCellMar>
            <w:top w:w="0" w:type="dxa"/>
            <w:left w:w="108" w:type="dxa"/>
            <w:bottom w:w="0" w:type="dxa"/>
            <w:right w:w="108" w:type="dxa"/>
          </w:tblCellMar>
        </w:tblPrEx>
        <w:trPr>
          <w:trHeight w:val="675" w:hRule="atLeast"/>
          <w:jc w:val="center"/>
        </w:trPr>
        <w:tc>
          <w:tcPr>
            <w:tcW w:w="1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三</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500</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股权质押</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30</w:t>
            </w:r>
          </w:p>
        </w:tc>
        <w:tc>
          <w:tcPr>
            <w:tcW w:w="138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70</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350</w:t>
            </w:r>
          </w:p>
        </w:tc>
      </w:tr>
      <w:tr>
        <w:tblPrEx>
          <w:tblCellMar>
            <w:top w:w="0" w:type="dxa"/>
            <w:left w:w="108" w:type="dxa"/>
            <w:bottom w:w="0" w:type="dxa"/>
            <w:right w:w="108" w:type="dxa"/>
          </w:tblCellMar>
        </w:tblPrEx>
        <w:trPr>
          <w:trHeight w:val="675" w:hRule="atLeast"/>
          <w:jc w:val="center"/>
        </w:trPr>
        <w:tc>
          <w:tcPr>
            <w:tcW w:w="1160" w:type="dxa"/>
            <w:tcBorders>
              <w:top w:val="nil"/>
              <w:left w:val="single" w:color="auto" w:sz="4" w:space="0"/>
              <w:bottom w:val="nil"/>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四</w:t>
            </w:r>
          </w:p>
        </w:tc>
        <w:tc>
          <w:tcPr>
            <w:tcW w:w="1660" w:type="dxa"/>
            <w:tcBorders>
              <w:top w:val="nil"/>
              <w:left w:val="nil"/>
              <w:bottom w:val="nil"/>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1000</w:t>
            </w:r>
          </w:p>
        </w:tc>
        <w:tc>
          <w:tcPr>
            <w:tcW w:w="2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由银行根据企业具体需求设计相适应的综合授信方案，其中免抵押信用贷款不得低于500万元</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lang w:val="en-US" w:eastAsia="zh-CN"/>
              </w:rPr>
              <w:t>6</w:t>
            </w:r>
            <w:r>
              <w:rPr>
                <w:rFonts w:hint="eastAsia" w:ascii="仿宋_GB2312" w:hAnsi="宋体" w:eastAsia="仿宋_GB2312" w:cs="宋体"/>
                <w:color w:val="auto"/>
                <w:kern w:val="0"/>
                <w:sz w:val="24"/>
                <w:szCs w:val="24"/>
                <w:highlight w:val="none"/>
              </w:rPr>
              <w:t>0</w:t>
            </w:r>
          </w:p>
        </w:tc>
        <w:tc>
          <w:tcPr>
            <w:tcW w:w="138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lang w:val="en-US" w:eastAsia="zh-CN"/>
              </w:rPr>
              <w:t>4</w:t>
            </w:r>
            <w:r>
              <w:rPr>
                <w:rFonts w:hint="eastAsia" w:ascii="仿宋_GB2312" w:hAnsi="宋体" w:eastAsia="仿宋_GB2312" w:cs="宋体"/>
                <w:color w:val="auto"/>
                <w:kern w:val="0"/>
                <w:sz w:val="24"/>
                <w:szCs w:val="24"/>
                <w:highlight w:val="none"/>
              </w:rPr>
              <w:t>0</w:t>
            </w:r>
          </w:p>
        </w:tc>
        <w:tc>
          <w:tcPr>
            <w:tcW w:w="1140" w:type="dxa"/>
            <w:tcBorders>
              <w:top w:val="nil"/>
              <w:left w:val="nil"/>
              <w:bottom w:val="nil"/>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400</w:t>
            </w:r>
          </w:p>
        </w:tc>
      </w:tr>
      <w:tr>
        <w:tblPrEx>
          <w:tblCellMar>
            <w:top w:w="0" w:type="dxa"/>
            <w:left w:w="108" w:type="dxa"/>
            <w:bottom w:w="0" w:type="dxa"/>
            <w:right w:w="108" w:type="dxa"/>
          </w:tblCellMar>
        </w:tblPrEx>
        <w:trPr>
          <w:trHeight w:val="675" w:hRule="atLeast"/>
          <w:jc w:val="center"/>
        </w:trPr>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五</w:t>
            </w:r>
          </w:p>
        </w:tc>
        <w:tc>
          <w:tcPr>
            <w:tcW w:w="1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1500</w:t>
            </w:r>
          </w:p>
        </w:tc>
        <w:tc>
          <w:tcPr>
            <w:tcW w:w="208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auto"/>
                <w:kern w:val="0"/>
                <w:sz w:val="24"/>
                <w:szCs w:val="24"/>
                <w:highlight w:val="none"/>
              </w:rPr>
            </w:pP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lang w:val="en-US" w:eastAsia="zh-CN"/>
              </w:rPr>
              <w:t>6</w:t>
            </w:r>
            <w:r>
              <w:rPr>
                <w:rFonts w:hint="eastAsia" w:ascii="仿宋_GB2312" w:hAnsi="宋体" w:eastAsia="仿宋_GB2312" w:cs="宋体"/>
                <w:color w:val="auto"/>
                <w:kern w:val="0"/>
                <w:sz w:val="24"/>
                <w:szCs w:val="24"/>
                <w:highlight w:val="none"/>
              </w:rPr>
              <w:t>0</w:t>
            </w:r>
          </w:p>
        </w:tc>
        <w:tc>
          <w:tcPr>
            <w:tcW w:w="138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lang w:val="en-US" w:eastAsia="zh-CN"/>
              </w:rPr>
              <w:t>4</w:t>
            </w:r>
            <w:r>
              <w:rPr>
                <w:rFonts w:hint="eastAsia" w:ascii="仿宋_GB2312" w:hAnsi="宋体" w:eastAsia="仿宋_GB2312" w:cs="宋体"/>
                <w:color w:val="auto"/>
                <w:kern w:val="0"/>
                <w:sz w:val="24"/>
                <w:szCs w:val="24"/>
                <w:highlight w:val="none"/>
              </w:rPr>
              <w:t>0</w:t>
            </w: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600</w:t>
            </w:r>
          </w:p>
        </w:tc>
      </w:tr>
      <w:tr>
        <w:tblPrEx>
          <w:tblCellMar>
            <w:top w:w="0" w:type="dxa"/>
            <w:left w:w="108" w:type="dxa"/>
            <w:bottom w:w="0" w:type="dxa"/>
            <w:right w:w="108" w:type="dxa"/>
          </w:tblCellMar>
        </w:tblPrEx>
        <w:trPr>
          <w:trHeight w:val="675" w:hRule="atLeast"/>
          <w:jc w:val="center"/>
        </w:trPr>
        <w:tc>
          <w:tcPr>
            <w:tcW w:w="11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六</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2000</w:t>
            </w:r>
          </w:p>
        </w:tc>
        <w:tc>
          <w:tcPr>
            <w:tcW w:w="208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auto"/>
                <w:kern w:val="0"/>
                <w:sz w:val="24"/>
                <w:szCs w:val="24"/>
                <w:highlight w:val="none"/>
              </w:rPr>
            </w:pP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lang w:val="en-US" w:eastAsia="zh-CN"/>
              </w:rPr>
              <w:t>6</w:t>
            </w:r>
            <w:r>
              <w:rPr>
                <w:rFonts w:hint="eastAsia" w:ascii="仿宋_GB2312" w:hAnsi="宋体" w:eastAsia="仿宋_GB2312" w:cs="宋体"/>
                <w:color w:val="auto"/>
                <w:kern w:val="0"/>
                <w:sz w:val="24"/>
                <w:szCs w:val="24"/>
                <w:highlight w:val="none"/>
              </w:rPr>
              <w:t>0</w:t>
            </w:r>
          </w:p>
        </w:tc>
        <w:tc>
          <w:tcPr>
            <w:tcW w:w="138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lang w:val="en-US" w:eastAsia="zh-CN"/>
              </w:rPr>
              <w:t>4</w:t>
            </w:r>
            <w:r>
              <w:rPr>
                <w:rFonts w:hint="eastAsia" w:ascii="仿宋_GB2312" w:hAnsi="宋体" w:eastAsia="仿宋_GB2312" w:cs="宋体"/>
                <w:color w:val="auto"/>
                <w:kern w:val="0"/>
                <w:sz w:val="24"/>
                <w:szCs w:val="24"/>
                <w:highlight w:val="none"/>
              </w:rPr>
              <w:t>0</w:t>
            </w:r>
          </w:p>
        </w:tc>
        <w:tc>
          <w:tcPr>
            <w:tcW w:w="11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800</w:t>
            </w:r>
          </w:p>
        </w:tc>
      </w:tr>
    </w:tbl>
    <w:p>
      <w:pPr>
        <w:spacing w:line="312" w:lineRule="auto"/>
        <w:ind w:firstLine="664"/>
        <w:jc w:val="both"/>
        <w:rPr>
          <w:rFonts w:ascii="Times New Roman" w:hAnsi="Times New Roman" w:eastAsia="仿宋_GB2312" w:cs="Times New Roman"/>
          <w:snapToGrid w:val="0"/>
          <w:color w:val="auto"/>
          <w:spacing w:val="6"/>
          <w:kern w:val="0"/>
          <w:sz w:val="32"/>
          <w:szCs w:val="32"/>
          <w:highlight w:val="none"/>
        </w:rPr>
      </w:pPr>
    </w:p>
    <w:p>
      <w:pPr>
        <w:spacing w:line="312" w:lineRule="auto"/>
        <w:ind w:firstLine="664"/>
        <w:jc w:val="both"/>
        <w:rPr>
          <w:rFonts w:ascii="Times New Roman" w:hAnsi="Times New Roman" w:eastAsia="仿宋_GB2312" w:cs="Times New Roman"/>
          <w:snapToGrid w:val="0"/>
          <w:color w:val="auto"/>
          <w:spacing w:val="6"/>
          <w:kern w:val="0"/>
          <w:sz w:val="32"/>
          <w:szCs w:val="32"/>
          <w:highlight w:val="none"/>
        </w:rPr>
      </w:pPr>
      <w:r>
        <w:rPr>
          <w:rFonts w:ascii="Times New Roman" w:hAnsi="Times New Roman" w:eastAsia="黑体" w:cs="Times New Roman"/>
          <w:bCs/>
          <w:color w:val="auto"/>
          <w:spacing w:val="6"/>
          <w:sz w:val="32"/>
          <w:szCs w:val="32"/>
          <w:highlight w:val="none"/>
        </w:rPr>
        <w:t>第</w:t>
      </w:r>
      <w:r>
        <w:rPr>
          <w:rFonts w:hint="eastAsia" w:ascii="Times New Roman" w:hAnsi="Times New Roman" w:eastAsia="黑体" w:cs="Times New Roman"/>
          <w:bCs/>
          <w:color w:val="auto"/>
          <w:spacing w:val="6"/>
          <w:sz w:val="32"/>
          <w:szCs w:val="32"/>
          <w:highlight w:val="none"/>
        </w:rPr>
        <w:t>十</w:t>
      </w:r>
      <w:r>
        <w:rPr>
          <w:rFonts w:hint="eastAsia" w:ascii="Times New Roman" w:hAnsi="Times New Roman" w:eastAsia="黑体" w:cs="Times New Roman"/>
          <w:bCs/>
          <w:color w:val="auto"/>
          <w:spacing w:val="6"/>
          <w:sz w:val="32"/>
          <w:szCs w:val="32"/>
          <w:highlight w:val="none"/>
          <w:lang w:val="en-US" w:eastAsia="zh-CN"/>
        </w:rPr>
        <w:t>六</w:t>
      </w:r>
      <w:r>
        <w:rPr>
          <w:rFonts w:ascii="Times New Roman" w:hAnsi="Times New Roman" w:eastAsia="黑体" w:cs="Times New Roman"/>
          <w:bCs/>
          <w:color w:val="auto"/>
          <w:spacing w:val="6"/>
          <w:sz w:val="32"/>
          <w:szCs w:val="32"/>
          <w:highlight w:val="none"/>
        </w:rPr>
        <w:t xml:space="preserve">条 </w:t>
      </w:r>
      <w:r>
        <w:rPr>
          <w:rFonts w:hint="eastAsia" w:ascii="Times New Roman" w:hAnsi="Times New Roman" w:eastAsia="仿宋_GB2312" w:cs="Times New Roman"/>
          <w:snapToGrid w:val="0"/>
          <w:color w:val="auto"/>
          <w:spacing w:val="6"/>
          <w:kern w:val="0"/>
          <w:sz w:val="32"/>
          <w:szCs w:val="32"/>
          <w:highlight w:val="none"/>
        </w:rPr>
        <w:t>担保金补偿金额以贷款项目的担保金分摊金额为准，以担保金出资总规模为限。合作银行发放贷款额度超过备案额度，超出部分由该银行自行承担风险；合作银行放款后逾期未报备的，银行对企业发放的贷款不得享受风险补偿。</w:t>
      </w:r>
    </w:p>
    <w:p>
      <w:pPr>
        <w:topLinePunct/>
        <w:spacing w:line="312" w:lineRule="auto"/>
        <w:ind w:firstLine="664"/>
        <w:jc w:val="both"/>
        <w:rPr>
          <w:rFonts w:ascii="Times New Roman" w:hAnsi="Times New Roman" w:eastAsia="仿宋_GB2312" w:cs="Times New Roman"/>
          <w:snapToGrid w:val="0"/>
          <w:color w:val="auto"/>
          <w:spacing w:val="6"/>
          <w:kern w:val="0"/>
          <w:sz w:val="32"/>
          <w:szCs w:val="32"/>
          <w:highlight w:val="none"/>
        </w:rPr>
      </w:pPr>
      <w:r>
        <w:rPr>
          <w:rFonts w:ascii="Times New Roman" w:hAnsi="Times New Roman" w:eastAsia="黑体" w:cs="Times New Roman"/>
          <w:bCs/>
          <w:snapToGrid w:val="0"/>
          <w:color w:val="auto"/>
          <w:spacing w:val="6"/>
          <w:kern w:val="0"/>
          <w:sz w:val="32"/>
          <w:szCs w:val="32"/>
          <w:highlight w:val="none"/>
        </w:rPr>
        <w:t>第</w:t>
      </w:r>
      <w:r>
        <w:rPr>
          <w:rFonts w:hint="eastAsia" w:ascii="Times New Roman" w:hAnsi="Times New Roman" w:eastAsia="黑体" w:cs="Times New Roman"/>
          <w:bCs/>
          <w:snapToGrid w:val="0"/>
          <w:color w:val="auto"/>
          <w:spacing w:val="6"/>
          <w:kern w:val="0"/>
          <w:sz w:val="32"/>
          <w:szCs w:val="32"/>
          <w:highlight w:val="none"/>
        </w:rPr>
        <w:t>十</w:t>
      </w:r>
      <w:r>
        <w:rPr>
          <w:rFonts w:hint="eastAsia" w:ascii="Times New Roman" w:hAnsi="Times New Roman" w:eastAsia="黑体" w:cs="Times New Roman"/>
          <w:bCs/>
          <w:snapToGrid w:val="0"/>
          <w:color w:val="auto"/>
          <w:spacing w:val="6"/>
          <w:kern w:val="0"/>
          <w:sz w:val="32"/>
          <w:szCs w:val="32"/>
          <w:highlight w:val="none"/>
          <w:lang w:val="en-US" w:eastAsia="zh-CN"/>
        </w:rPr>
        <w:t>七</w:t>
      </w:r>
      <w:r>
        <w:rPr>
          <w:rFonts w:ascii="Times New Roman" w:hAnsi="Times New Roman" w:eastAsia="黑体" w:cs="Times New Roman"/>
          <w:bCs/>
          <w:snapToGrid w:val="0"/>
          <w:color w:val="auto"/>
          <w:spacing w:val="6"/>
          <w:kern w:val="0"/>
          <w:sz w:val="32"/>
          <w:szCs w:val="32"/>
          <w:highlight w:val="none"/>
        </w:rPr>
        <w:t xml:space="preserve">条 </w:t>
      </w:r>
      <w:r>
        <w:rPr>
          <w:rFonts w:hint="eastAsia" w:ascii="Times New Roman" w:hAnsi="Times New Roman" w:eastAsia="仿宋_GB2312" w:cs="Times New Roman"/>
          <w:snapToGrid w:val="0"/>
          <w:color w:val="auto"/>
          <w:spacing w:val="6"/>
          <w:kern w:val="0"/>
          <w:sz w:val="32"/>
          <w:szCs w:val="32"/>
          <w:highlight w:val="none"/>
        </w:rPr>
        <w:t>受托管理机构每季度结束后第1个月内将信贷业务清单、担保金拨付以及风险补偿情况报区经科局备案。</w:t>
      </w:r>
    </w:p>
    <w:p>
      <w:pPr>
        <w:topLinePunct/>
        <w:spacing w:line="312" w:lineRule="auto"/>
        <w:ind w:firstLine="664"/>
        <w:jc w:val="both"/>
        <w:rPr>
          <w:rFonts w:ascii="Times New Roman" w:hAnsi="Times New Roman" w:eastAsia="仿宋_GB2312" w:cs="Times New Roman"/>
          <w:snapToGrid w:val="0"/>
          <w:color w:val="auto"/>
          <w:spacing w:val="6"/>
          <w:kern w:val="0"/>
          <w:sz w:val="32"/>
          <w:szCs w:val="32"/>
          <w:highlight w:val="none"/>
        </w:rPr>
      </w:pPr>
      <w:r>
        <w:rPr>
          <w:rFonts w:ascii="Times New Roman" w:hAnsi="Times New Roman" w:eastAsia="黑体" w:cs="Times New Roman"/>
          <w:bCs/>
          <w:snapToGrid w:val="0"/>
          <w:color w:val="auto"/>
          <w:spacing w:val="6"/>
          <w:kern w:val="0"/>
          <w:sz w:val="32"/>
          <w:szCs w:val="32"/>
          <w:highlight w:val="none"/>
        </w:rPr>
        <w:t>第</w:t>
      </w:r>
      <w:r>
        <w:rPr>
          <w:rFonts w:hint="eastAsia" w:ascii="Times New Roman" w:hAnsi="Times New Roman" w:eastAsia="黑体" w:cs="Times New Roman"/>
          <w:bCs/>
          <w:snapToGrid w:val="0"/>
          <w:color w:val="auto"/>
          <w:spacing w:val="6"/>
          <w:kern w:val="0"/>
          <w:sz w:val="32"/>
          <w:szCs w:val="32"/>
          <w:highlight w:val="none"/>
        </w:rPr>
        <w:t>十</w:t>
      </w:r>
      <w:r>
        <w:rPr>
          <w:rFonts w:hint="eastAsia" w:ascii="Times New Roman" w:hAnsi="Times New Roman" w:eastAsia="黑体" w:cs="Times New Roman"/>
          <w:bCs/>
          <w:snapToGrid w:val="0"/>
          <w:color w:val="auto"/>
          <w:spacing w:val="6"/>
          <w:kern w:val="0"/>
          <w:sz w:val="32"/>
          <w:szCs w:val="32"/>
          <w:highlight w:val="none"/>
          <w:lang w:val="en-US" w:eastAsia="zh-CN"/>
        </w:rPr>
        <w:t>八</w:t>
      </w:r>
      <w:r>
        <w:rPr>
          <w:rFonts w:ascii="Times New Roman" w:hAnsi="Times New Roman" w:eastAsia="黑体" w:cs="Times New Roman"/>
          <w:bCs/>
          <w:snapToGrid w:val="0"/>
          <w:color w:val="auto"/>
          <w:spacing w:val="6"/>
          <w:kern w:val="0"/>
          <w:sz w:val="32"/>
          <w:szCs w:val="32"/>
          <w:highlight w:val="none"/>
        </w:rPr>
        <w:t xml:space="preserve">条 </w:t>
      </w:r>
      <w:r>
        <w:rPr>
          <w:rFonts w:hint="eastAsia" w:ascii="Times New Roman" w:hAnsi="Times New Roman" w:eastAsia="仿宋_GB2312" w:cs="Times New Roman"/>
          <w:snapToGrid w:val="0"/>
          <w:color w:val="auto"/>
          <w:spacing w:val="6"/>
          <w:kern w:val="0"/>
          <w:sz w:val="32"/>
          <w:szCs w:val="32"/>
          <w:highlight w:val="none"/>
        </w:rPr>
        <w:t>担保金终止运作时区经科局按照相关程序聘请第三方中介机构对资金进行清算，担保金有盈余的</w:t>
      </w:r>
      <w:r>
        <w:rPr>
          <w:rFonts w:hint="eastAsia" w:ascii="Times New Roman" w:hAnsi="Times New Roman" w:eastAsia="仿宋_GB2312" w:cs="Times New Roman"/>
          <w:snapToGrid w:val="0"/>
          <w:color w:val="auto"/>
          <w:spacing w:val="6"/>
          <w:kern w:val="0"/>
          <w:sz w:val="32"/>
          <w:szCs w:val="32"/>
          <w:highlight w:val="none"/>
          <w:lang w:eastAsia="zh-CN"/>
        </w:rPr>
        <w:t>，</w:t>
      </w:r>
      <w:r>
        <w:rPr>
          <w:rFonts w:hint="eastAsia" w:ascii="Times New Roman" w:hAnsi="Times New Roman" w:eastAsia="仿宋_GB2312" w:cs="Times New Roman"/>
          <w:snapToGrid w:val="0"/>
          <w:color w:val="auto"/>
          <w:spacing w:val="6"/>
          <w:kern w:val="0"/>
          <w:sz w:val="32"/>
          <w:szCs w:val="32"/>
          <w:highlight w:val="none"/>
          <w:lang w:val="en-US" w:eastAsia="zh-CN"/>
        </w:rPr>
        <w:t>在</w:t>
      </w:r>
      <w:r>
        <w:rPr>
          <w:rFonts w:hint="eastAsia" w:ascii="Times New Roman" w:hAnsi="Times New Roman" w:eastAsia="仿宋_GB2312" w:cs="Times New Roman"/>
          <w:snapToGrid w:val="0"/>
          <w:color w:val="auto"/>
          <w:spacing w:val="6"/>
          <w:kern w:val="0"/>
          <w:sz w:val="32"/>
          <w:szCs w:val="32"/>
          <w:highlight w:val="none"/>
        </w:rPr>
        <w:t>设立期限届满后1年内将余额归还区财政资金账户。</w:t>
      </w:r>
    </w:p>
    <w:p>
      <w:pPr>
        <w:spacing w:line="312" w:lineRule="auto"/>
        <w:jc w:val="both"/>
        <w:rPr>
          <w:rFonts w:ascii="Times New Roman" w:hAnsi="Times New Roman" w:eastAsia="仿宋_GB2312" w:cs="Times New Roman"/>
          <w:snapToGrid w:val="0"/>
          <w:color w:val="auto"/>
          <w:spacing w:val="6"/>
          <w:kern w:val="0"/>
          <w:sz w:val="32"/>
          <w:szCs w:val="32"/>
          <w:highlight w:val="none"/>
        </w:rPr>
      </w:pPr>
    </w:p>
    <w:p>
      <w:pPr>
        <w:spacing w:line="312" w:lineRule="auto"/>
        <w:jc w:val="center"/>
        <w:rPr>
          <w:rFonts w:ascii="Times New Roman" w:hAnsi="Times New Roman" w:eastAsia="仿宋_GB2312" w:cs="Times New Roman"/>
          <w:b/>
          <w:color w:val="auto"/>
          <w:spacing w:val="6"/>
          <w:sz w:val="32"/>
          <w:szCs w:val="32"/>
          <w:highlight w:val="none"/>
        </w:rPr>
      </w:pPr>
      <w:r>
        <w:rPr>
          <w:rFonts w:ascii="Times New Roman" w:hAnsi="Times New Roman" w:eastAsia="黑体" w:cs="Times New Roman"/>
          <w:color w:val="auto"/>
          <w:spacing w:val="6"/>
          <w:sz w:val="32"/>
          <w:szCs w:val="32"/>
          <w:highlight w:val="none"/>
        </w:rPr>
        <w:t>第</w:t>
      </w:r>
      <w:r>
        <w:rPr>
          <w:rFonts w:hint="eastAsia" w:ascii="Times New Roman" w:hAnsi="Times New Roman" w:eastAsia="黑体" w:cs="Times New Roman"/>
          <w:color w:val="auto"/>
          <w:spacing w:val="6"/>
          <w:sz w:val="32"/>
          <w:szCs w:val="32"/>
          <w:highlight w:val="none"/>
        </w:rPr>
        <w:t>四</w:t>
      </w:r>
      <w:r>
        <w:rPr>
          <w:rFonts w:ascii="Times New Roman" w:hAnsi="Times New Roman" w:eastAsia="黑体" w:cs="Times New Roman"/>
          <w:color w:val="auto"/>
          <w:spacing w:val="6"/>
          <w:sz w:val="32"/>
          <w:szCs w:val="32"/>
          <w:highlight w:val="none"/>
        </w:rPr>
        <w:t xml:space="preserve">章 </w:t>
      </w:r>
      <w:r>
        <w:rPr>
          <w:rFonts w:hint="eastAsia" w:ascii="Times New Roman" w:hAnsi="Times New Roman" w:eastAsia="黑体" w:cs="Times New Roman"/>
          <w:color w:val="auto"/>
          <w:spacing w:val="6"/>
          <w:sz w:val="32"/>
          <w:szCs w:val="32"/>
          <w:highlight w:val="none"/>
        </w:rPr>
        <w:t>信贷业务</w:t>
      </w:r>
    </w:p>
    <w:p>
      <w:pPr>
        <w:spacing w:line="312" w:lineRule="auto"/>
        <w:ind w:firstLine="664"/>
        <w:jc w:val="both"/>
        <w:rPr>
          <w:rFonts w:eastAsia="仿宋_GB2312"/>
          <w:bCs/>
          <w:color w:val="auto"/>
          <w:kern w:val="0"/>
          <w:sz w:val="32"/>
          <w:szCs w:val="32"/>
          <w:highlight w:val="none"/>
        </w:rPr>
      </w:pPr>
      <w:r>
        <w:rPr>
          <w:rFonts w:ascii="Times New Roman" w:hAnsi="Times New Roman" w:eastAsia="黑体" w:cs="Times New Roman"/>
          <w:color w:val="auto"/>
          <w:spacing w:val="6"/>
          <w:sz w:val="32"/>
          <w:szCs w:val="32"/>
          <w:highlight w:val="none"/>
        </w:rPr>
        <w:t>第</w:t>
      </w:r>
      <w:r>
        <w:rPr>
          <w:rFonts w:hint="eastAsia" w:ascii="Times New Roman" w:hAnsi="Times New Roman" w:eastAsia="黑体" w:cs="Times New Roman"/>
          <w:color w:val="auto"/>
          <w:spacing w:val="6"/>
          <w:sz w:val="32"/>
          <w:szCs w:val="32"/>
          <w:highlight w:val="none"/>
          <w:lang w:val="en-US" w:eastAsia="zh-CN"/>
        </w:rPr>
        <w:t>十九</w:t>
      </w:r>
      <w:r>
        <w:rPr>
          <w:rFonts w:ascii="Times New Roman" w:hAnsi="Times New Roman" w:eastAsia="黑体" w:cs="Times New Roman"/>
          <w:color w:val="auto"/>
          <w:spacing w:val="6"/>
          <w:sz w:val="32"/>
          <w:szCs w:val="32"/>
          <w:highlight w:val="none"/>
        </w:rPr>
        <w:t>条</w:t>
      </w:r>
      <w:r>
        <w:rPr>
          <w:rFonts w:ascii="Times New Roman" w:hAnsi="Times New Roman" w:eastAsia="仿宋_GB2312" w:cs="Times New Roman"/>
          <w:color w:val="auto"/>
          <w:spacing w:val="6"/>
          <w:sz w:val="32"/>
          <w:szCs w:val="32"/>
          <w:highlight w:val="none"/>
        </w:rPr>
        <w:t xml:space="preserve"> </w:t>
      </w:r>
      <w:r>
        <w:rPr>
          <w:rFonts w:hint="eastAsia" w:eastAsia="仿宋_GB2312"/>
          <w:bCs/>
          <w:color w:val="auto"/>
          <w:kern w:val="0"/>
          <w:sz w:val="32"/>
          <w:szCs w:val="32"/>
          <w:highlight w:val="none"/>
        </w:rPr>
        <w:t>区内企业成为《</w:t>
      </w:r>
      <w:r>
        <w:rPr>
          <w:rFonts w:hint="eastAsia" w:ascii="Times New Roman" w:hAnsi="Times New Roman" w:eastAsia="仿宋_GB2312" w:cs="Times New Roman"/>
          <w:snapToGrid w:val="0"/>
          <w:color w:val="auto"/>
          <w:spacing w:val="6"/>
          <w:kern w:val="0"/>
          <w:sz w:val="32"/>
          <w:szCs w:val="32"/>
          <w:highlight w:val="none"/>
        </w:rPr>
        <w:t>培育库</w:t>
      </w:r>
      <w:r>
        <w:rPr>
          <w:rFonts w:hint="eastAsia" w:eastAsia="仿宋_GB2312"/>
          <w:bCs/>
          <w:color w:val="auto"/>
          <w:kern w:val="0"/>
          <w:sz w:val="32"/>
          <w:szCs w:val="32"/>
          <w:highlight w:val="none"/>
        </w:rPr>
        <w:t>》内企业后，可在</w:t>
      </w:r>
      <w:r>
        <w:rPr>
          <w:rFonts w:hint="eastAsia" w:ascii="Times New Roman" w:hAnsi="Times New Roman" w:eastAsia="仿宋_GB2312" w:cs="Times New Roman"/>
          <w:snapToGrid w:val="0"/>
          <w:color w:val="auto"/>
          <w:spacing w:val="6"/>
          <w:kern w:val="0"/>
          <w:sz w:val="32"/>
          <w:szCs w:val="32"/>
          <w:highlight w:val="none"/>
        </w:rPr>
        <w:t>区服务平台</w:t>
      </w:r>
      <w:r>
        <w:rPr>
          <w:rFonts w:hint="eastAsia" w:ascii="Times New Roman" w:hAnsi="Times New Roman" w:eastAsia="仿宋_GB2312" w:cs="Times New Roman"/>
          <w:color w:val="auto"/>
          <w:spacing w:val="6"/>
          <w:sz w:val="32"/>
          <w:szCs w:val="32"/>
          <w:highlight w:val="none"/>
        </w:rPr>
        <w:t>发布融资需求或选择合作银行的金融产品，申请</w:t>
      </w:r>
      <w:r>
        <w:rPr>
          <w:rFonts w:hint="eastAsia" w:eastAsia="仿宋_GB2312"/>
          <w:bCs/>
          <w:color w:val="auto"/>
          <w:kern w:val="0"/>
          <w:sz w:val="32"/>
          <w:szCs w:val="32"/>
          <w:highlight w:val="none"/>
        </w:rPr>
        <w:t>信贷项目。</w:t>
      </w:r>
    </w:p>
    <w:p>
      <w:pPr>
        <w:spacing w:line="312" w:lineRule="auto"/>
        <w:ind w:firstLine="664"/>
        <w:jc w:val="both"/>
        <w:rPr>
          <w:rFonts w:eastAsia="仿宋_GB2312"/>
          <w:bCs/>
          <w:color w:val="auto"/>
          <w:kern w:val="0"/>
          <w:sz w:val="32"/>
          <w:szCs w:val="32"/>
          <w:highlight w:val="none"/>
        </w:rPr>
      </w:pPr>
      <w:r>
        <w:rPr>
          <w:rFonts w:ascii="Times New Roman" w:hAnsi="Times New Roman" w:eastAsia="黑体" w:cs="Times New Roman"/>
          <w:color w:val="auto"/>
          <w:spacing w:val="6"/>
          <w:sz w:val="32"/>
          <w:szCs w:val="32"/>
          <w:highlight w:val="none"/>
        </w:rPr>
        <w:t>第</w:t>
      </w:r>
      <w:r>
        <w:rPr>
          <w:rFonts w:hint="eastAsia" w:ascii="Times New Roman" w:hAnsi="Times New Roman" w:eastAsia="黑体" w:cs="Times New Roman"/>
          <w:color w:val="auto"/>
          <w:spacing w:val="6"/>
          <w:sz w:val="32"/>
          <w:szCs w:val="32"/>
          <w:highlight w:val="none"/>
          <w:lang w:val="en-US" w:eastAsia="zh-CN"/>
        </w:rPr>
        <w:t>二十</w:t>
      </w:r>
      <w:r>
        <w:rPr>
          <w:rFonts w:ascii="Times New Roman" w:hAnsi="Times New Roman" w:eastAsia="黑体" w:cs="Times New Roman"/>
          <w:color w:val="auto"/>
          <w:spacing w:val="6"/>
          <w:sz w:val="32"/>
          <w:szCs w:val="32"/>
          <w:highlight w:val="none"/>
        </w:rPr>
        <w:t>条</w:t>
      </w:r>
      <w:r>
        <w:rPr>
          <w:rFonts w:hint="eastAsia" w:ascii="Times New Roman" w:hAnsi="Times New Roman" w:eastAsia="黑体" w:cs="Times New Roman"/>
          <w:color w:val="auto"/>
          <w:spacing w:val="6"/>
          <w:sz w:val="32"/>
          <w:szCs w:val="32"/>
          <w:highlight w:val="none"/>
          <w:lang w:val="en-US" w:eastAsia="zh-CN"/>
        </w:rPr>
        <w:t xml:space="preserve"> </w:t>
      </w:r>
      <w:r>
        <w:rPr>
          <w:rFonts w:hint="eastAsia" w:eastAsia="仿宋_GB2312"/>
          <w:bCs/>
          <w:color w:val="auto"/>
          <w:kern w:val="0"/>
          <w:sz w:val="32"/>
          <w:szCs w:val="32"/>
          <w:highlight w:val="none"/>
        </w:rPr>
        <w:t>企业申请纳入《</w:t>
      </w:r>
      <w:r>
        <w:rPr>
          <w:rFonts w:hint="eastAsia" w:ascii="Times New Roman" w:hAnsi="Times New Roman" w:eastAsia="仿宋_GB2312" w:cs="Times New Roman"/>
          <w:snapToGrid w:val="0"/>
          <w:color w:val="auto"/>
          <w:spacing w:val="6"/>
          <w:kern w:val="0"/>
          <w:sz w:val="32"/>
          <w:szCs w:val="32"/>
          <w:highlight w:val="none"/>
        </w:rPr>
        <w:t>培育库</w:t>
      </w:r>
      <w:r>
        <w:rPr>
          <w:rFonts w:hint="eastAsia" w:eastAsia="仿宋_GB2312"/>
          <w:bCs/>
          <w:color w:val="auto"/>
          <w:kern w:val="0"/>
          <w:sz w:val="32"/>
          <w:szCs w:val="32"/>
          <w:highlight w:val="none"/>
        </w:rPr>
        <w:t>》需提交如下材料：</w:t>
      </w:r>
    </w:p>
    <w:p>
      <w:pPr>
        <w:spacing w:line="312" w:lineRule="auto"/>
        <w:ind w:firstLine="664"/>
        <w:jc w:val="both"/>
        <w:rPr>
          <w:rFonts w:eastAsia="仿宋_GB2312"/>
          <w:bCs/>
          <w:color w:val="auto"/>
          <w:kern w:val="0"/>
          <w:sz w:val="32"/>
          <w:szCs w:val="32"/>
          <w:highlight w:val="none"/>
        </w:rPr>
      </w:pPr>
      <w:r>
        <w:rPr>
          <w:rFonts w:hint="eastAsia" w:eastAsia="仿宋_GB2312"/>
          <w:bCs/>
          <w:color w:val="auto"/>
          <w:kern w:val="0"/>
          <w:sz w:val="32"/>
          <w:szCs w:val="32"/>
          <w:highlight w:val="none"/>
        </w:rPr>
        <w:t>（一）中山火炬开发区</w:t>
      </w:r>
      <w:r>
        <w:rPr>
          <w:rFonts w:hint="eastAsia" w:eastAsia="仿宋_GB2312"/>
          <w:bCs/>
          <w:color w:val="auto"/>
          <w:kern w:val="0"/>
          <w:sz w:val="32"/>
          <w:szCs w:val="32"/>
          <w:highlight w:val="none"/>
          <w:lang w:eastAsia="zh-CN"/>
        </w:rPr>
        <w:t>《</w:t>
      </w:r>
      <w:r>
        <w:rPr>
          <w:rFonts w:hint="eastAsia" w:eastAsia="仿宋_GB2312"/>
          <w:bCs/>
          <w:color w:val="auto"/>
          <w:kern w:val="0"/>
          <w:sz w:val="32"/>
          <w:szCs w:val="32"/>
          <w:highlight w:val="none"/>
          <w:lang w:val="en-US" w:eastAsia="zh-CN"/>
        </w:rPr>
        <w:t>培育库</w:t>
      </w:r>
      <w:r>
        <w:rPr>
          <w:rFonts w:hint="eastAsia" w:eastAsia="仿宋_GB2312"/>
          <w:bCs/>
          <w:color w:val="auto"/>
          <w:kern w:val="0"/>
          <w:sz w:val="32"/>
          <w:szCs w:val="32"/>
          <w:highlight w:val="none"/>
          <w:lang w:eastAsia="zh-CN"/>
        </w:rPr>
        <w:t>》</w:t>
      </w:r>
      <w:r>
        <w:rPr>
          <w:rFonts w:hint="eastAsia" w:eastAsia="仿宋_GB2312"/>
          <w:bCs/>
          <w:color w:val="auto"/>
          <w:kern w:val="0"/>
          <w:sz w:val="32"/>
          <w:szCs w:val="32"/>
          <w:highlight w:val="none"/>
        </w:rPr>
        <w:t>入库申请表（</w:t>
      </w:r>
      <w:r>
        <w:rPr>
          <w:rFonts w:ascii="Times New Roman" w:hAnsi="Times New Roman" w:eastAsia="仿宋_GB2312" w:cs="Times New Roman"/>
          <w:bCs/>
          <w:color w:val="auto"/>
          <w:kern w:val="0"/>
          <w:sz w:val="32"/>
          <w:szCs w:val="32"/>
          <w:highlight w:val="none"/>
        </w:rPr>
        <w:t>附件1</w:t>
      </w:r>
      <w:r>
        <w:rPr>
          <w:rFonts w:hint="eastAsia" w:eastAsia="仿宋_GB2312"/>
          <w:bCs/>
          <w:color w:val="auto"/>
          <w:kern w:val="0"/>
          <w:sz w:val="32"/>
          <w:szCs w:val="32"/>
          <w:highlight w:val="none"/>
        </w:rPr>
        <w:t>）；</w:t>
      </w:r>
    </w:p>
    <w:p>
      <w:pPr>
        <w:spacing w:line="312" w:lineRule="auto"/>
        <w:ind w:firstLine="664"/>
        <w:jc w:val="both"/>
        <w:rPr>
          <w:rFonts w:ascii="Times New Roman" w:hAnsi="Times New Roman" w:eastAsia="仿宋_GB2312" w:cs="Times New Roman"/>
          <w:color w:val="auto"/>
          <w:spacing w:val="6"/>
          <w:kern w:val="0"/>
          <w:sz w:val="32"/>
          <w:szCs w:val="32"/>
          <w:highlight w:val="none"/>
        </w:rPr>
      </w:pPr>
      <w:r>
        <w:rPr>
          <w:rFonts w:hint="eastAsia" w:eastAsia="仿宋_GB2312"/>
          <w:bCs/>
          <w:color w:val="auto"/>
          <w:kern w:val="0"/>
          <w:sz w:val="32"/>
          <w:szCs w:val="32"/>
          <w:highlight w:val="none"/>
        </w:rPr>
        <w:t>（二）</w:t>
      </w:r>
      <w:r>
        <w:rPr>
          <w:rFonts w:hint="eastAsia" w:ascii="Times New Roman" w:hAnsi="Times New Roman" w:eastAsia="仿宋_GB2312" w:cs="Times New Roman"/>
          <w:color w:val="auto"/>
          <w:spacing w:val="6"/>
          <w:kern w:val="0"/>
          <w:sz w:val="32"/>
          <w:szCs w:val="32"/>
          <w:highlight w:val="none"/>
        </w:rPr>
        <w:t>“一照一码”营业执照复印件（企业工商登记日期在2016年9月30日以前的，需同时提供组织机构代码证复印件）；</w:t>
      </w:r>
    </w:p>
    <w:p>
      <w:pPr>
        <w:spacing w:line="312" w:lineRule="auto"/>
        <w:ind w:firstLine="664"/>
        <w:jc w:val="both"/>
        <w:rPr>
          <w:rFonts w:ascii="Times New Roman" w:hAnsi="Times New Roman" w:eastAsia="仿宋_GB2312" w:cs="Times New Roman"/>
          <w:color w:val="auto"/>
          <w:spacing w:val="6"/>
          <w:kern w:val="0"/>
          <w:sz w:val="32"/>
          <w:szCs w:val="32"/>
          <w:highlight w:val="none"/>
        </w:rPr>
      </w:pPr>
      <w:r>
        <w:rPr>
          <w:rFonts w:hint="eastAsia" w:ascii="Times New Roman" w:hAnsi="Times New Roman" w:eastAsia="仿宋_GB2312" w:cs="Times New Roman"/>
          <w:color w:val="auto"/>
          <w:spacing w:val="6"/>
          <w:kern w:val="0"/>
          <w:sz w:val="32"/>
          <w:szCs w:val="32"/>
          <w:highlight w:val="none"/>
        </w:rPr>
        <w:t>（三）企业章程复印件；</w:t>
      </w:r>
    </w:p>
    <w:p>
      <w:pPr>
        <w:spacing w:line="312" w:lineRule="auto"/>
        <w:ind w:firstLine="664"/>
        <w:jc w:val="both"/>
        <w:rPr>
          <w:rFonts w:ascii="Times New Roman" w:hAnsi="Times New Roman" w:eastAsia="仿宋_GB2312" w:cs="Times New Roman"/>
          <w:color w:val="auto"/>
          <w:spacing w:val="6"/>
          <w:kern w:val="0"/>
          <w:sz w:val="32"/>
          <w:szCs w:val="32"/>
          <w:highlight w:val="none"/>
        </w:rPr>
      </w:pPr>
      <w:r>
        <w:rPr>
          <w:rFonts w:hint="eastAsia" w:ascii="Times New Roman" w:hAnsi="Times New Roman" w:eastAsia="仿宋_GB2312" w:cs="Times New Roman"/>
          <w:color w:val="auto"/>
          <w:spacing w:val="6"/>
          <w:kern w:val="0"/>
          <w:sz w:val="32"/>
          <w:szCs w:val="32"/>
          <w:highlight w:val="none"/>
        </w:rPr>
        <w:t>（四）法人代表和企业其他主要负责人身份证复印件；</w:t>
      </w:r>
    </w:p>
    <w:p>
      <w:pPr>
        <w:spacing w:line="312" w:lineRule="auto"/>
        <w:ind w:firstLine="664"/>
        <w:jc w:val="both"/>
        <w:rPr>
          <w:rFonts w:eastAsia="仿宋_GB2312"/>
          <w:bCs/>
          <w:color w:val="auto"/>
          <w:kern w:val="0"/>
          <w:sz w:val="32"/>
          <w:szCs w:val="32"/>
          <w:highlight w:val="none"/>
        </w:rPr>
      </w:pPr>
      <w:r>
        <w:rPr>
          <w:rFonts w:hint="eastAsia" w:eastAsia="仿宋_GB2312"/>
          <w:bCs/>
          <w:color w:val="auto"/>
          <w:kern w:val="0"/>
          <w:sz w:val="32"/>
          <w:szCs w:val="32"/>
          <w:highlight w:val="none"/>
        </w:rPr>
        <w:t>（五）企业上</w:t>
      </w:r>
      <w:r>
        <w:rPr>
          <w:rFonts w:hint="eastAsia" w:ascii="Times New Roman" w:hAnsi="Times New Roman" w:eastAsia="仿宋_GB2312" w:cs="Times New Roman"/>
          <w:bCs/>
          <w:color w:val="auto"/>
          <w:kern w:val="0"/>
          <w:sz w:val="32"/>
          <w:szCs w:val="32"/>
          <w:highlight w:val="none"/>
        </w:rPr>
        <w:t>一</w:t>
      </w:r>
      <w:r>
        <w:rPr>
          <w:rFonts w:hint="eastAsia" w:eastAsia="仿宋_GB2312"/>
          <w:bCs/>
          <w:color w:val="auto"/>
          <w:kern w:val="0"/>
          <w:sz w:val="32"/>
          <w:szCs w:val="32"/>
          <w:highlight w:val="none"/>
        </w:rPr>
        <w:t>个会计年度的纳税申报表（成立日期未</w:t>
      </w:r>
      <w:r>
        <w:rPr>
          <w:rFonts w:ascii="Times New Roman" w:hAnsi="Times New Roman" w:eastAsia="仿宋_GB2312" w:cs="Times New Roman"/>
          <w:bCs/>
          <w:color w:val="auto"/>
          <w:kern w:val="0"/>
          <w:sz w:val="32"/>
          <w:szCs w:val="32"/>
          <w:highlight w:val="none"/>
        </w:rPr>
        <w:t>满1</w:t>
      </w:r>
      <w:r>
        <w:rPr>
          <w:rFonts w:hint="eastAsia" w:eastAsia="仿宋_GB2312"/>
          <w:bCs/>
          <w:color w:val="auto"/>
          <w:kern w:val="0"/>
          <w:sz w:val="32"/>
          <w:szCs w:val="32"/>
          <w:highlight w:val="none"/>
        </w:rPr>
        <w:t>年的企业提供最近</w:t>
      </w:r>
      <w:r>
        <w:rPr>
          <w:rFonts w:hint="eastAsia" w:ascii="Times New Roman" w:hAnsi="Times New Roman" w:eastAsia="仿宋_GB2312" w:cs="Times New Roman"/>
          <w:bCs/>
          <w:color w:val="auto"/>
          <w:kern w:val="0"/>
          <w:sz w:val="32"/>
          <w:szCs w:val="32"/>
          <w:highlight w:val="none"/>
        </w:rPr>
        <w:t>一</w:t>
      </w:r>
      <w:r>
        <w:rPr>
          <w:rFonts w:hint="eastAsia" w:eastAsia="仿宋_GB2312"/>
          <w:bCs/>
          <w:color w:val="auto"/>
          <w:kern w:val="0"/>
          <w:sz w:val="32"/>
          <w:szCs w:val="32"/>
          <w:highlight w:val="none"/>
        </w:rPr>
        <w:t>个季度的纳税申报表）；</w:t>
      </w:r>
    </w:p>
    <w:p>
      <w:pPr>
        <w:spacing w:line="312" w:lineRule="auto"/>
        <w:ind w:firstLine="664"/>
        <w:jc w:val="both"/>
        <w:rPr>
          <w:rFonts w:ascii="Times New Roman" w:hAnsi="Times New Roman" w:eastAsia="仿宋_GB2312" w:cs="Times New Roman"/>
          <w:color w:val="auto"/>
          <w:spacing w:val="6"/>
          <w:kern w:val="0"/>
          <w:sz w:val="32"/>
          <w:szCs w:val="32"/>
          <w:highlight w:val="none"/>
        </w:rPr>
      </w:pPr>
      <w:r>
        <w:rPr>
          <w:rFonts w:hint="eastAsia" w:eastAsia="仿宋_GB2312"/>
          <w:bCs/>
          <w:color w:val="auto"/>
          <w:kern w:val="0"/>
          <w:sz w:val="32"/>
          <w:szCs w:val="32"/>
          <w:highlight w:val="none"/>
        </w:rPr>
        <w:t>（六）</w:t>
      </w:r>
      <w:r>
        <w:rPr>
          <w:rFonts w:hint="eastAsia" w:ascii="Times New Roman" w:hAnsi="Times New Roman" w:eastAsia="仿宋_GB2312" w:cs="Times New Roman"/>
          <w:color w:val="auto"/>
          <w:spacing w:val="6"/>
          <w:kern w:val="0"/>
          <w:sz w:val="32"/>
          <w:szCs w:val="32"/>
          <w:highlight w:val="none"/>
        </w:rPr>
        <w:t>其他相关材料。</w:t>
      </w:r>
    </w:p>
    <w:p>
      <w:pPr>
        <w:spacing w:line="312" w:lineRule="auto"/>
        <w:ind w:firstLine="664"/>
        <w:jc w:val="both"/>
        <w:rPr>
          <w:rFonts w:hint="eastAsia" w:ascii="Times New Roman" w:hAnsi="Times New Roman" w:eastAsia="仿宋_GB2312" w:cs="Times New Roman"/>
          <w:color w:val="auto"/>
          <w:spacing w:val="6"/>
          <w:kern w:val="0"/>
          <w:sz w:val="32"/>
          <w:szCs w:val="32"/>
          <w:highlight w:val="none"/>
        </w:rPr>
      </w:pPr>
      <w:r>
        <w:rPr>
          <w:rFonts w:hint="eastAsia" w:ascii="Times New Roman" w:hAnsi="Times New Roman" w:eastAsia="仿宋_GB2312" w:cs="Times New Roman"/>
          <w:color w:val="auto"/>
          <w:spacing w:val="6"/>
          <w:kern w:val="0"/>
          <w:sz w:val="32"/>
          <w:szCs w:val="32"/>
          <w:highlight w:val="none"/>
        </w:rPr>
        <w:t>上述材料为复印件的均需加盖企业公章。材料（一）在区服务平台填报，材料（二）至（六）只需上传至区服务平台，免提交纸质材料。</w:t>
      </w:r>
    </w:p>
    <w:p>
      <w:pPr>
        <w:spacing w:line="312" w:lineRule="auto"/>
        <w:ind w:firstLine="664"/>
        <w:jc w:val="both"/>
        <w:rPr>
          <w:rFonts w:ascii="Times New Roman" w:hAnsi="Times New Roman" w:eastAsia="仿宋_GB2312" w:cs="Times New Roman"/>
          <w:color w:val="auto"/>
          <w:spacing w:val="6"/>
          <w:sz w:val="32"/>
          <w:szCs w:val="32"/>
          <w:highlight w:val="none"/>
        </w:rPr>
      </w:pPr>
      <w:r>
        <w:rPr>
          <w:rFonts w:ascii="Times New Roman" w:hAnsi="Times New Roman" w:eastAsia="黑体" w:cs="Times New Roman"/>
          <w:color w:val="auto"/>
          <w:spacing w:val="6"/>
          <w:sz w:val="32"/>
          <w:szCs w:val="32"/>
          <w:highlight w:val="none"/>
        </w:rPr>
        <w:t>第二十</w:t>
      </w:r>
      <w:r>
        <w:rPr>
          <w:rFonts w:hint="eastAsia" w:ascii="Times New Roman" w:hAnsi="Times New Roman" w:eastAsia="黑体" w:cs="Times New Roman"/>
          <w:color w:val="auto"/>
          <w:spacing w:val="6"/>
          <w:sz w:val="32"/>
          <w:szCs w:val="32"/>
          <w:highlight w:val="none"/>
          <w:lang w:val="en-US" w:eastAsia="zh-CN"/>
        </w:rPr>
        <w:t>一</w:t>
      </w:r>
      <w:r>
        <w:rPr>
          <w:rFonts w:ascii="Times New Roman" w:hAnsi="Times New Roman" w:eastAsia="黑体" w:cs="Times New Roman"/>
          <w:color w:val="auto"/>
          <w:spacing w:val="6"/>
          <w:sz w:val="32"/>
          <w:szCs w:val="32"/>
          <w:highlight w:val="none"/>
        </w:rPr>
        <w:t>条</w:t>
      </w:r>
      <w:r>
        <w:rPr>
          <w:rFonts w:ascii="Times New Roman" w:hAnsi="Times New Roman" w:eastAsia="仿宋_GB2312" w:cs="Times New Roman"/>
          <w:color w:val="auto"/>
          <w:spacing w:val="6"/>
          <w:sz w:val="32"/>
          <w:szCs w:val="32"/>
          <w:highlight w:val="none"/>
        </w:rPr>
        <w:t xml:space="preserve"> </w:t>
      </w:r>
      <w:r>
        <w:rPr>
          <w:rFonts w:hint="eastAsia" w:eastAsia="仿宋_GB2312"/>
          <w:bCs/>
          <w:color w:val="auto"/>
          <w:kern w:val="0"/>
          <w:sz w:val="32"/>
          <w:szCs w:val="32"/>
          <w:highlight w:val="none"/>
        </w:rPr>
        <w:t>《</w:t>
      </w:r>
      <w:r>
        <w:rPr>
          <w:rFonts w:hint="eastAsia" w:ascii="Times New Roman" w:hAnsi="Times New Roman" w:eastAsia="仿宋_GB2312" w:cs="Times New Roman"/>
          <w:snapToGrid w:val="0"/>
          <w:color w:val="auto"/>
          <w:spacing w:val="6"/>
          <w:kern w:val="0"/>
          <w:sz w:val="32"/>
          <w:szCs w:val="32"/>
          <w:highlight w:val="none"/>
        </w:rPr>
        <w:t>培育库</w:t>
      </w:r>
      <w:r>
        <w:rPr>
          <w:rFonts w:hint="eastAsia" w:eastAsia="仿宋_GB2312"/>
          <w:bCs/>
          <w:color w:val="auto"/>
          <w:kern w:val="0"/>
          <w:sz w:val="32"/>
          <w:szCs w:val="32"/>
          <w:highlight w:val="none"/>
        </w:rPr>
        <w:t>》企业申请信贷程序如下</w:t>
      </w:r>
      <w:r>
        <w:rPr>
          <w:rFonts w:ascii="Times New Roman" w:hAnsi="Times New Roman" w:eastAsia="仿宋_GB2312" w:cs="Times New Roman"/>
          <w:color w:val="auto"/>
          <w:spacing w:val="6"/>
          <w:sz w:val="32"/>
          <w:szCs w:val="32"/>
          <w:highlight w:val="none"/>
        </w:rPr>
        <w:t>：</w:t>
      </w:r>
    </w:p>
    <w:p>
      <w:pPr>
        <w:spacing w:line="312" w:lineRule="auto"/>
        <w:ind w:firstLine="664"/>
        <w:jc w:val="both"/>
        <w:rPr>
          <w:rFonts w:ascii="Times New Roman" w:hAnsi="Times New Roman" w:eastAsia="仿宋_GB2312" w:cs="Times New Roman"/>
          <w:color w:val="auto"/>
          <w:spacing w:val="6"/>
          <w:sz w:val="32"/>
          <w:szCs w:val="32"/>
          <w:highlight w:val="none"/>
        </w:rPr>
      </w:pPr>
      <w:r>
        <w:rPr>
          <w:rFonts w:hint="eastAsia" w:ascii="Times New Roman" w:hAnsi="Times New Roman" w:eastAsia="仿宋_GB2312" w:cs="Times New Roman"/>
          <w:color w:val="auto"/>
          <w:spacing w:val="6"/>
          <w:sz w:val="32"/>
          <w:szCs w:val="32"/>
          <w:highlight w:val="none"/>
        </w:rPr>
        <w:t>（一）</w:t>
      </w:r>
      <w:r>
        <w:rPr>
          <w:rFonts w:hint="eastAsia" w:eastAsia="仿宋_GB2312"/>
          <w:bCs/>
          <w:color w:val="auto"/>
          <w:kern w:val="0"/>
          <w:sz w:val="32"/>
          <w:szCs w:val="32"/>
          <w:highlight w:val="none"/>
        </w:rPr>
        <w:t>《</w:t>
      </w:r>
      <w:r>
        <w:rPr>
          <w:rFonts w:hint="eastAsia" w:ascii="Times New Roman" w:hAnsi="Times New Roman" w:eastAsia="仿宋_GB2312" w:cs="Times New Roman"/>
          <w:snapToGrid w:val="0"/>
          <w:color w:val="auto"/>
          <w:spacing w:val="6"/>
          <w:kern w:val="0"/>
          <w:sz w:val="32"/>
          <w:szCs w:val="32"/>
          <w:highlight w:val="none"/>
        </w:rPr>
        <w:t>培育库</w:t>
      </w:r>
      <w:r>
        <w:rPr>
          <w:rFonts w:hint="eastAsia" w:eastAsia="仿宋_GB2312"/>
          <w:bCs/>
          <w:color w:val="auto"/>
          <w:kern w:val="0"/>
          <w:sz w:val="32"/>
          <w:szCs w:val="32"/>
          <w:highlight w:val="none"/>
        </w:rPr>
        <w:t>》</w:t>
      </w:r>
      <w:r>
        <w:rPr>
          <w:rFonts w:hint="eastAsia" w:ascii="Times New Roman" w:hAnsi="Times New Roman" w:eastAsia="仿宋_GB2312" w:cs="Times New Roman"/>
          <w:color w:val="auto"/>
          <w:spacing w:val="6"/>
          <w:sz w:val="32"/>
          <w:szCs w:val="32"/>
          <w:highlight w:val="none"/>
        </w:rPr>
        <w:t>内企业在服务平台发布融资需求或选择合作银行的金融产品。每家企业每年只能选择1家合作银行办理一笔信贷业务。</w:t>
      </w:r>
    </w:p>
    <w:p>
      <w:pPr>
        <w:spacing w:line="312" w:lineRule="auto"/>
        <w:ind w:firstLine="664"/>
        <w:jc w:val="both"/>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color w:val="auto"/>
          <w:spacing w:val="6"/>
          <w:sz w:val="32"/>
          <w:szCs w:val="32"/>
          <w:highlight w:val="none"/>
        </w:rPr>
        <w:t>（二）合作银行根据各行内部操作规程对</w:t>
      </w:r>
      <w:r>
        <w:rPr>
          <w:rFonts w:hint="eastAsia" w:eastAsia="仿宋_GB2312"/>
          <w:bCs/>
          <w:color w:val="auto"/>
          <w:kern w:val="0"/>
          <w:sz w:val="32"/>
          <w:szCs w:val="32"/>
          <w:highlight w:val="none"/>
        </w:rPr>
        <w:t>《</w:t>
      </w:r>
      <w:r>
        <w:rPr>
          <w:rFonts w:hint="eastAsia" w:ascii="Times New Roman" w:hAnsi="Times New Roman" w:eastAsia="仿宋_GB2312" w:cs="Times New Roman"/>
          <w:snapToGrid w:val="0"/>
          <w:color w:val="auto"/>
          <w:spacing w:val="6"/>
          <w:kern w:val="0"/>
          <w:sz w:val="32"/>
          <w:szCs w:val="32"/>
          <w:highlight w:val="none"/>
        </w:rPr>
        <w:t>培育库</w:t>
      </w:r>
      <w:r>
        <w:rPr>
          <w:rFonts w:hint="eastAsia" w:eastAsia="仿宋_GB2312"/>
          <w:bCs/>
          <w:color w:val="auto"/>
          <w:kern w:val="0"/>
          <w:sz w:val="32"/>
          <w:szCs w:val="32"/>
          <w:highlight w:val="none"/>
        </w:rPr>
        <w:t>》</w:t>
      </w:r>
      <w:r>
        <w:rPr>
          <w:rFonts w:hint="eastAsia" w:ascii="Times New Roman" w:hAnsi="Times New Roman" w:eastAsia="仿宋_GB2312" w:cs="Times New Roman"/>
          <w:color w:val="auto"/>
          <w:spacing w:val="6"/>
          <w:sz w:val="32"/>
          <w:szCs w:val="32"/>
          <w:highlight w:val="none"/>
        </w:rPr>
        <w:t>内企业和拟贷款项目进行尽职调查和审核，经审核通过后，由合作银行向</w:t>
      </w:r>
      <w:r>
        <w:rPr>
          <w:rFonts w:hint="eastAsia" w:ascii="Times New Roman" w:hAnsi="Times New Roman" w:eastAsia="仿宋_GB2312" w:cs="Times New Roman"/>
          <w:snapToGrid w:val="0"/>
          <w:color w:val="auto"/>
          <w:spacing w:val="6"/>
          <w:kern w:val="0"/>
          <w:sz w:val="32"/>
          <w:szCs w:val="32"/>
          <w:highlight w:val="none"/>
        </w:rPr>
        <w:t>区金融中心提交《信贷业务贷款项目备案申请函》（附件2）。</w:t>
      </w:r>
    </w:p>
    <w:p>
      <w:pPr>
        <w:spacing w:line="312" w:lineRule="auto"/>
        <w:ind w:firstLine="664"/>
        <w:jc w:val="both"/>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（三）区金融中心根据</w:t>
      </w:r>
      <w:r>
        <w:rPr>
          <w:rFonts w:hint="eastAsia" w:eastAsia="仿宋_GB2312"/>
          <w:bCs/>
          <w:color w:val="auto"/>
          <w:kern w:val="0"/>
          <w:sz w:val="32"/>
          <w:szCs w:val="32"/>
          <w:highlight w:val="none"/>
        </w:rPr>
        <w:t>《</w:t>
      </w:r>
      <w:r>
        <w:rPr>
          <w:rFonts w:hint="eastAsia" w:ascii="Times New Roman" w:hAnsi="Times New Roman" w:eastAsia="仿宋_GB2312" w:cs="Times New Roman"/>
          <w:snapToGrid w:val="0"/>
          <w:color w:val="auto"/>
          <w:spacing w:val="6"/>
          <w:kern w:val="0"/>
          <w:sz w:val="32"/>
          <w:szCs w:val="32"/>
          <w:highlight w:val="none"/>
        </w:rPr>
        <w:t>培育库</w:t>
      </w:r>
      <w:r>
        <w:rPr>
          <w:rFonts w:hint="eastAsia" w:eastAsia="仿宋_GB2312"/>
          <w:bCs/>
          <w:color w:val="auto"/>
          <w:kern w:val="0"/>
          <w:sz w:val="32"/>
          <w:szCs w:val="32"/>
          <w:highlight w:val="none"/>
        </w:rPr>
        <w:t>》</w:t>
      </w:r>
      <w:r>
        <w:rPr>
          <w:rFonts w:hint="eastAsia" w:ascii="Times New Roman" w:hAnsi="Times New Roman" w:eastAsia="仿宋_GB2312" w:cs="Times New Roman"/>
          <w:snapToGrid w:val="0"/>
          <w:color w:val="auto"/>
          <w:spacing w:val="6"/>
          <w:kern w:val="0"/>
          <w:sz w:val="32"/>
          <w:szCs w:val="32"/>
          <w:highlight w:val="none"/>
        </w:rPr>
        <w:t>审核以下事项，并在7个工作日内回复：</w:t>
      </w:r>
    </w:p>
    <w:p>
      <w:pPr>
        <w:spacing w:line="312" w:lineRule="auto"/>
        <w:ind w:firstLine="664"/>
        <w:jc w:val="both"/>
        <w:rPr>
          <w:rFonts w:hint="eastAsia" w:ascii="Times New Roman" w:hAnsi="Times New Roman" w:eastAsia="仿宋_GB2312" w:cs="Times New Roman"/>
          <w:snapToGrid w:val="0"/>
          <w:color w:val="auto"/>
          <w:spacing w:val="6"/>
          <w:kern w:val="0"/>
          <w:sz w:val="32"/>
          <w:szCs w:val="32"/>
          <w:highlight w:val="none"/>
          <w:lang w:eastAsia="zh-CN"/>
        </w:rPr>
      </w:pPr>
      <w:r>
        <w:rPr>
          <w:rFonts w:hint="eastAsia" w:ascii="Times New Roman" w:hAnsi="Times New Roman" w:eastAsia="仿宋_GB2312" w:cs="Times New Roman"/>
          <w:snapToGrid w:val="0"/>
          <w:color w:val="auto"/>
          <w:spacing w:val="6"/>
          <w:kern w:val="0"/>
          <w:sz w:val="32"/>
          <w:szCs w:val="32"/>
          <w:highlight w:val="none"/>
        </w:rPr>
        <w:t>1.企业是否</w:t>
      </w:r>
      <w:r>
        <w:rPr>
          <w:rFonts w:hint="eastAsia" w:eastAsia="仿宋_GB2312"/>
          <w:bCs/>
          <w:color w:val="auto"/>
          <w:kern w:val="0"/>
          <w:sz w:val="32"/>
          <w:szCs w:val="32"/>
          <w:highlight w:val="none"/>
        </w:rPr>
        <w:t>《</w:t>
      </w:r>
      <w:r>
        <w:rPr>
          <w:rFonts w:hint="eastAsia" w:ascii="Times New Roman" w:hAnsi="Times New Roman" w:eastAsia="仿宋_GB2312" w:cs="Times New Roman"/>
          <w:snapToGrid w:val="0"/>
          <w:color w:val="auto"/>
          <w:spacing w:val="6"/>
          <w:kern w:val="0"/>
          <w:sz w:val="32"/>
          <w:szCs w:val="32"/>
          <w:highlight w:val="none"/>
        </w:rPr>
        <w:t>培育库</w:t>
      </w:r>
      <w:r>
        <w:rPr>
          <w:rFonts w:hint="eastAsia" w:eastAsia="仿宋_GB2312"/>
          <w:bCs/>
          <w:color w:val="auto"/>
          <w:kern w:val="0"/>
          <w:sz w:val="32"/>
          <w:szCs w:val="32"/>
          <w:highlight w:val="none"/>
        </w:rPr>
        <w:t>》</w:t>
      </w:r>
      <w:r>
        <w:rPr>
          <w:rFonts w:hint="eastAsia" w:ascii="Times New Roman" w:hAnsi="Times New Roman" w:eastAsia="仿宋_GB2312" w:cs="Times New Roman"/>
          <w:snapToGrid w:val="0"/>
          <w:color w:val="auto"/>
          <w:spacing w:val="6"/>
          <w:kern w:val="0"/>
          <w:sz w:val="32"/>
          <w:szCs w:val="32"/>
          <w:highlight w:val="none"/>
        </w:rPr>
        <w:t>内企业，如非</w:t>
      </w:r>
      <w:r>
        <w:rPr>
          <w:rFonts w:hint="eastAsia" w:eastAsia="仿宋_GB2312"/>
          <w:bCs/>
          <w:color w:val="auto"/>
          <w:kern w:val="0"/>
          <w:sz w:val="32"/>
          <w:szCs w:val="32"/>
          <w:highlight w:val="none"/>
        </w:rPr>
        <w:t>库</w:t>
      </w:r>
      <w:r>
        <w:rPr>
          <w:rFonts w:hint="eastAsia" w:ascii="Times New Roman" w:hAnsi="Times New Roman" w:eastAsia="仿宋_GB2312" w:cs="Times New Roman"/>
          <w:snapToGrid w:val="0"/>
          <w:color w:val="auto"/>
          <w:spacing w:val="6"/>
          <w:kern w:val="0"/>
          <w:sz w:val="32"/>
          <w:szCs w:val="32"/>
          <w:highlight w:val="none"/>
        </w:rPr>
        <w:t>内企业，直接退件，不予受理</w:t>
      </w:r>
      <w:r>
        <w:rPr>
          <w:rFonts w:hint="eastAsia" w:ascii="Times New Roman" w:hAnsi="Times New Roman" w:eastAsia="仿宋_GB2312" w:cs="Times New Roman"/>
          <w:snapToGrid w:val="0"/>
          <w:color w:val="auto"/>
          <w:spacing w:val="6"/>
          <w:kern w:val="0"/>
          <w:sz w:val="32"/>
          <w:szCs w:val="32"/>
          <w:highlight w:val="none"/>
          <w:lang w:eastAsia="zh-CN"/>
        </w:rPr>
        <w:t>。</w:t>
      </w:r>
    </w:p>
    <w:p>
      <w:pPr>
        <w:spacing w:line="312" w:lineRule="auto"/>
        <w:ind w:firstLine="664"/>
        <w:jc w:val="both"/>
        <w:rPr>
          <w:rFonts w:hint="eastAsia" w:ascii="Times New Roman" w:hAnsi="Times New Roman" w:eastAsia="仿宋_GB2312" w:cs="Times New Roman"/>
          <w:snapToGrid w:val="0"/>
          <w:color w:val="auto"/>
          <w:spacing w:val="6"/>
          <w:kern w:val="0"/>
          <w:sz w:val="32"/>
          <w:szCs w:val="32"/>
          <w:highlight w:val="none"/>
          <w:lang w:val="en-US" w:eastAsia="zh-CN"/>
        </w:rPr>
      </w:pPr>
      <w:r>
        <w:rPr>
          <w:rFonts w:hint="eastAsia" w:ascii="Times New Roman" w:hAnsi="Times New Roman" w:eastAsia="仿宋_GB2312" w:cs="Times New Roman"/>
          <w:snapToGrid w:val="0"/>
          <w:color w:val="auto"/>
          <w:spacing w:val="6"/>
          <w:kern w:val="0"/>
          <w:sz w:val="32"/>
          <w:szCs w:val="32"/>
          <w:highlight w:val="none"/>
        </w:rPr>
        <w:t>2.企业贷款项目是否</w:t>
      </w:r>
      <w:r>
        <w:rPr>
          <w:rFonts w:hint="eastAsia" w:ascii="Times New Roman" w:hAnsi="Times New Roman" w:eastAsia="仿宋_GB2312" w:cs="Times New Roman"/>
          <w:snapToGrid w:val="0"/>
          <w:color w:val="auto"/>
          <w:spacing w:val="6"/>
          <w:kern w:val="0"/>
          <w:sz w:val="32"/>
          <w:szCs w:val="32"/>
          <w:highlight w:val="none"/>
          <w:lang w:val="en-US" w:eastAsia="zh-CN"/>
        </w:rPr>
        <w:t>在当年已申请过一次，如已申请一次，直接退件，不予受理。</w:t>
      </w:r>
    </w:p>
    <w:p>
      <w:pPr>
        <w:spacing w:line="312" w:lineRule="auto"/>
        <w:ind w:firstLine="664"/>
        <w:jc w:val="both"/>
        <w:rPr>
          <w:rFonts w:hint="eastAsia" w:ascii="Times New Roman" w:hAnsi="Times New Roman" w:eastAsia="仿宋_GB2312" w:cs="Times New Roman"/>
          <w:snapToGrid w:val="0"/>
          <w:color w:val="auto"/>
          <w:spacing w:val="6"/>
          <w:kern w:val="0"/>
          <w:sz w:val="32"/>
          <w:szCs w:val="32"/>
          <w:highlight w:val="none"/>
          <w:lang w:val="en-US" w:eastAsia="zh-CN"/>
        </w:rPr>
      </w:pPr>
      <w:r>
        <w:rPr>
          <w:rFonts w:hint="eastAsia" w:ascii="Times New Roman" w:hAnsi="Times New Roman" w:eastAsia="仿宋_GB2312" w:cs="Times New Roman"/>
          <w:snapToGrid w:val="0"/>
          <w:color w:val="auto"/>
          <w:spacing w:val="6"/>
          <w:kern w:val="0"/>
          <w:sz w:val="32"/>
          <w:szCs w:val="32"/>
          <w:highlight w:val="none"/>
          <w:lang w:val="en-US" w:eastAsia="zh-CN"/>
        </w:rPr>
        <w:t>3.企业贷款金额是否超过第八条和第十五条等规定的标准，如超过，只审核以最高贷款规模为限。</w:t>
      </w:r>
    </w:p>
    <w:p>
      <w:pPr>
        <w:spacing w:line="312" w:lineRule="auto"/>
        <w:ind w:firstLine="664"/>
        <w:jc w:val="both"/>
        <w:rPr>
          <w:rFonts w:hint="eastAsia" w:ascii="Times New Roman" w:hAnsi="Times New Roman" w:eastAsia="仿宋_GB2312" w:cs="Times New Roman"/>
          <w:snapToGrid w:val="0"/>
          <w:color w:val="auto"/>
          <w:spacing w:val="6"/>
          <w:kern w:val="0"/>
          <w:sz w:val="32"/>
          <w:szCs w:val="32"/>
          <w:highlight w:val="none"/>
          <w:lang w:val="en-US" w:eastAsia="zh-CN"/>
        </w:rPr>
      </w:pPr>
      <w:r>
        <w:rPr>
          <w:rFonts w:hint="eastAsia" w:ascii="Times New Roman" w:hAnsi="Times New Roman" w:eastAsia="仿宋_GB2312" w:cs="Times New Roman"/>
          <w:snapToGrid w:val="0"/>
          <w:color w:val="auto"/>
          <w:spacing w:val="6"/>
          <w:kern w:val="0"/>
          <w:sz w:val="32"/>
          <w:szCs w:val="32"/>
          <w:highlight w:val="none"/>
          <w:lang w:val="en-US" w:eastAsia="zh-CN"/>
        </w:rPr>
        <w:t>4.如果是续贷项目，续贷增速是否达到第八条和第十五条等规定的标准，如果没有达到标准，直接退件，不予受理。</w:t>
      </w:r>
    </w:p>
    <w:p>
      <w:pPr>
        <w:spacing w:line="312" w:lineRule="auto"/>
        <w:ind w:firstLine="664"/>
        <w:jc w:val="both"/>
        <w:rPr>
          <w:rFonts w:hint="eastAsia" w:ascii="Times New Roman" w:hAnsi="Times New Roman" w:eastAsia="仿宋_GB2312" w:cs="Times New Roman"/>
          <w:snapToGrid w:val="0"/>
          <w:color w:val="auto"/>
          <w:spacing w:val="6"/>
          <w:kern w:val="0"/>
          <w:sz w:val="32"/>
          <w:szCs w:val="32"/>
          <w:highlight w:val="none"/>
          <w:lang w:val="en-US" w:eastAsia="zh-CN"/>
        </w:rPr>
      </w:pPr>
      <w:r>
        <w:rPr>
          <w:rFonts w:hint="eastAsia" w:ascii="Times New Roman" w:hAnsi="Times New Roman" w:eastAsia="仿宋_GB2312" w:cs="Times New Roman"/>
          <w:snapToGrid w:val="0"/>
          <w:color w:val="auto"/>
          <w:spacing w:val="6"/>
          <w:kern w:val="0"/>
          <w:sz w:val="32"/>
          <w:szCs w:val="32"/>
          <w:highlight w:val="none"/>
          <w:lang w:val="en-US" w:eastAsia="zh-CN"/>
        </w:rPr>
        <w:t>5.如果企业当年第一次申请，贷款或续贷标准符合第八条和第十五条等规定，</w:t>
      </w:r>
      <w:r>
        <w:rPr>
          <w:rFonts w:hint="eastAsia" w:ascii="Times New Roman" w:hAnsi="Times New Roman" w:eastAsia="仿宋_GB2312" w:cs="Times New Roman"/>
          <w:snapToGrid w:val="0"/>
          <w:color w:val="auto"/>
          <w:spacing w:val="6"/>
          <w:kern w:val="0"/>
          <w:sz w:val="32"/>
          <w:szCs w:val="32"/>
          <w:highlight w:val="none"/>
        </w:rPr>
        <w:t>区金融中心出具《信贷业务贷款项目备案确认函》</w:t>
      </w:r>
      <w:r>
        <w:rPr>
          <w:rFonts w:hint="eastAsia" w:ascii="Times New Roman" w:hAnsi="Times New Roman" w:eastAsia="仿宋_GB2312" w:cs="Times New Roman"/>
          <w:snapToGrid w:val="0"/>
          <w:color w:val="auto"/>
          <w:spacing w:val="6"/>
          <w:kern w:val="0"/>
          <w:sz w:val="32"/>
          <w:szCs w:val="32"/>
          <w:highlight w:val="none"/>
          <w:lang w:eastAsia="zh-CN"/>
        </w:rPr>
        <w:t>。</w:t>
      </w:r>
    </w:p>
    <w:p>
      <w:pPr>
        <w:spacing w:line="312" w:lineRule="auto"/>
        <w:ind w:firstLine="664"/>
        <w:jc w:val="both"/>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对未取得《信贷业务贷款项目备案确认函》的贷款项目，银行不得享受风险补偿。</w:t>
      </w:r>
    </w:p>
    <w:p>
      <w:pPr>
        <w:numPr>
          <w:ilvl w:val="0"/>
          <w:numId w:val="4"/>
        </w:numPr>
        <w:spacing w:line="312" w:lineRule="auto"/>
        <w:ind w:firstLine="664"/>
        <w:jc w:val="both"/>
        <w:rPr>
          <w:rFonts w:hint="eastAsia"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合作银行应在备案成功后30个工作日内完成贷款合同签订及落实相关放款手续，并在完成放款后7个工作日内向区金融中心报备《中山火炬开发区信贷实际贷款项目表》（附件4）及相关材料。合作银行逾期未报备和提交相关材料的，视为《信贷业务贷款项目备案确认函》已失效，银行对企业发放的贷款不得享受风险补偿。</w:t>
      </w:r>
    </w:p>
    <w:p>
      <w:pPr>
        <w:numPr>
          <w:ilvl w:val="0"/>
          <w:numId w:val="4"/>
        </w:numPr>
        <w:spacing w:line="312" w:lineRule="auto"/>
        <w:ind w:firstLine="664"/>
        <w:jc w:val="both"/>
        <w:rPr>
          <w:rFonts w:hint="eastAsia"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lang w:val="en-US" w:eastAsia="zh-CN"/>
        </w:rPr>
        <w:t>区金融中心采用形式审核方式提高工作效率，并定期对实际发放贷款进行审核上报区经科局审定，如果银行和企业提供的资料存在弄虚作假或者资金用途与实际不相符等情况，该笔贷款不得享受信贷风险补偿和贴息。</w:t>
      </w:r>
    </w:p>
    <w:p>
      <w:pPr>
        <w:spacing w:line="312" w:lineRule="auto"/>
        <w:ind w:firstLine="664"/>
        <w:jc w:val="both"/>
        <w:rPr>
          <w:rFonts w:ascii="Times New Roman" w:hAnsi="Times New Roman" w:eastAsia="仿宋_GB2312" w:cs="Times New Roman"/>
          <w:snapToGrid w:val="0"/>
          <w:color w:val="auto"/>
          <w:spacing w:val="6"/>
          <w:kern w:val="0"/>
          <w:sz w:val="32"/>
          <w:szCs w:val="32"/>
          <w:highlight w:val="none"/>
        </w:rPr>
      </w:pPr>
      <w:r>
        <w:rPr>
          <w:rFonts w:ascii="Times New Roman" w:hAnsi="Times New Roman" w:eastAsia="黑体" w:cs="Times New Roman"/>
          <w:color w:val="auto"/>
          <w:spacing w:val="6"/>
          <w:sz w:val="32"/>
          <w:szCs w:val="32"/>
          <w:highlight w:val="none"/>
        </w:rPr>
        <w:t>第二十</w:t>
      </w:r>
      <w:r>
        <w:rPr>
          <w:rFonts w:hint="eastAsia" w:ascii="Times New Roman" w:hAnsi="Times New Roman" w:eastAsia="黑体" w:cs="Times New Roman"/>
          <w:color w:val="auto"/>
          <w:spacing w:val="6"/>
          <w:sz w:val="32"/>
          <w:szCs w:val="32"/>
          <w:highlight w:val="none"/>
          <w:lang w:val="en-US" w:eastAsia="zh-CN"/>
        </w:rPr>
        <w:t>二</w:t>
      </w:r>
      <w:r>
        <w:rPr>
          <w:rFonts w:ascii="Times New Roman" w:hAnsi="Times New Roman" w:eastAsia="黑体" w:cs="Times New Roman"/>
          <w:color w:val="auto"/>
          <w:spacing w:val="6"/>
          <w:sz w:val="32"/>
          <w:szCs w:val="32"/>
          <w:highlight w:val="none"/>
        </w:rPr>
        <w:t>条</w:t>
      </w:r>
      <w:r>
        <w:rPr>
          <w:rFonts w:ascii="Times New Roman" w:hAnsi="Times New Roman" w:eastAsia="仿宋_GB2312" w:cs="Times New Roman"/>
          <w:color w:val="auto"/>
          <w:spacing w:val="6"/>
          <w:sz w:val="32"/>
          <w:szCs w:val="32"/>
          <w:highlight w:val="none"/>
        </w:rPr>
        <w:t xml:space="preserve"> </w:t>
      </w:r>
      <w:r>
        <w:rPr>
          <w:rFonts w:hint="eastAsia" w:eastAsia="仿宋_GB2312"/>
          <w:bCs/>
          <w:color w:val="auto"/>
          <w:kern w:val="0"/>
          <w:sz w:val="32"/>
          <w:szCs w:val="32"/>
          <w:highlight w:val="none"/>
        </w:rPr>
        <w:t>合作银行在每月初的</w:t>
      </w:r>
      <w:r>
        <w:rPr>
          <w:rFonts w:ascii="Times New Roman" w:hAnsi="Times New Roman" w:eastAsia="仿宋_GB2312" w:cs="Times New Roman"/>
          <w:bCs/>
          <w:color w:val="auto"/>
          <w:kern w:val="0"/>
          <w:sz w:val="32"/>
          <w:szCs w:val="32"/>
          <w:highlight w:val="none"/>
        </w:rPr>
        <w:t>7</w:t>
      </w:r>
      <w:r>
        <w:rPr>
          <w:rFonts w:hint="eastAsia" w:eastAsia="仿宋_GB2312"/>
          <w:bCs/>
          <w:color w:val="auto"/>
          <w:kern w:val="0"/>
          <w:sz w:val="32"/>
          <w:szCs w:val="32"/>
          <w:highlight w:val="none"/>
        </w:rPr>
        <w:t>个工作日内将已发放信贷业务清单报</w:t>
      </w:r>
      <w:r>
        <w:rPr>
          <w:rFonts w:hint="eastAsia" w:ascii="Times New Roman" w:hAnsi="Times New Roman" w:eastAsia="仿宋_GB2312" w:cs="Times New Roman"/>
          <w:snapToGrid w:val="0"/>
          <w:color w:val="auto"/>
          <w:spacing w:val="6"/>
          <w:kern w:val="0"/>
          <w:sz w:val="32"/>
          <w:szCs w:val="32"/>
          <w:highlight w:val="none"/>
        </w:rPr>
        <w:t>区金融中心</w:t>
      </w:r>
      <w:r>
        <w:rPr>
          <w:rFonts w:hint="eastAsia" w:eastAsia="仿宋_GB2312"/>
          <w:bCs/>
          <w:color w:val="auto"/>
          <w:kern w:val="0"/>
          <w:sz w:val="32"/>
          <w:szCs w:val="32"/>
          <w:highlight w:val="none"/>
        </w:rPr>
        <w:t>和区经科局</w:t>
      </w:r>
      <w:r>
        <w:rPr>
          <w:rFonts w:hint="eastAsia" w:ascii="Times New Roman" w:hAnsi="Times New Roman" w:eastAsia="仿宋_GB2312" w:cs="Times New Roman"/>
          <w:snapToGrid w:val="0"/>
          <w:color w:val="auto"/>
          <w:spacing w:val="6"/>
          <w:kern w:val="0"/>
          <w:sz w:val="32"/>
          <w:szCs w:val="32"/>
          <w:highlight w:val="none"/>
        </w:rPr>
        <w:t>；每年年末向区金融中心</w:t>
      </w:r>
      <w:r>
        <w:rPr>
          <w:rFonts w:hint="eastAsia" w:eastAsia="仿宋_GB2312"/>
          <w:bCs/>
          <w:color w:val="auto"/>
          <w:kern w:val="0"/>
          <w:sz w:val="32"/>
          <w:szCs w:val="32"/>
          <w:highlight w:val="none"/>
        </w:rPr>
        <w:t>和区经科局</w:t>
      </w:r>
      <w:r>
        <w:rPr>
          <w:rFonts w:hint="eastAsia" w:ascii="Times New Roman" w:hAnsi="Times New Roman" w:eastAsia="仿宋_GB2312" w:cs="Times New Roman"/>
          <w:snapToGrid w:val="0"/>
          <w:color w:val="auto"/>
          <w:spacing w:val="6"/>
          <w:kern w:val="0"/>
          <w:sz w:val="32"/>
          <w:szCs w:val="32"/>
          <w:highlight w:val="none"/>
        </w:rPr>
        <w:t>提交信贷业务报告，并对潜在风险采取相应措施，确保信贷业务的健康发展。</w:t>
      </w:r>
    </w:p>
    <w:p>
      <w:pPr>
        <w:spacing w:line="312" w:lineRule="auto"/>
        <w:ind w:firstLine="664"/>
        <w:jc w:val="both"/>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合作银行应确保报送的数据真实、准确、及时，如发现银行出现错误数据的，合作银行应书面向区金融中心说明原因；如出现3次以上报送数据不真实、不准确、不及时的，区金融中心有权通知受托管理机构收回存放在该合作银行的信贷业务担保金的50%。</w:t>
      </w:r>
    </w:p>
    <w:p>
      <w:pPr>
        <w:widowControl/>
        <w:spacing w:line="574" w:lineRule="exact"/>
        <w:ind w:right="23" w:rightChars="11" w:firstLine="664" w:firstLineChars="200"/>
        <w:jc w:val="both"/>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合作银行连续6个月未开展信贷业务的，经</w:t>
      </w:r>
      <w:r>
        <w:rPr>
          <w:rFonts w:ascii="Times New Roman" w:hAnsi="Times New Roman" w:eastAsia="仿宋_GB2312" w:cs="Times New Roman"/>
          <w:snapToGrid w:val="0"/>
          <w:color w:val="auto"/>
          <w:spacing w:val="6"/>
          <w:kern w:val="0"/>
          <w:sz w:val="32"/>
          <w:szCs w:val="32"/>
          <w:highlight w:val="none"/>
        </w:rPr>
        <w:t>区金融中心</w:t>
      </w:r>
      <w:r>
        <w:rPr>
          <w:rFonts w:hint="eastAsia" w:ascii="Times New Roman" w:hAnsi="Times New Roman" w:eastAsia="仿宋_GB2312" w:cs="Times New Roman"/>
          <w:snapToGrid w:val="0"/>
          <w:color w:val="auto"/>
          <w:spacing w:val="6"/>
          <w:kern w:val="0"/>
          <w:sz w:val="32"/>
          <w:szCs w:val="32"/>
          <w:highlight w:val="none"/>
        </w:rPr>
        <w:t>报请区经科局审定后，有权终止与该合作银行的信贷业务项目合作关系。</w:t>
      </w:r>
    </w:p>
    <w:p>
      <w:pPr>
        <w:spacing w:line="312" w:lineRule="auto"/>
        <w:jc w:val="both"/>
        <w:rPr>
          <w:rFonts w:ascii="Times New Roman" w:hAnsi="Times New Roman" w:eastAsia="仿宋_GB2312" w:cs="Times New Roman"/>
          <w:snapToGrid w:val="0"/>
          <w:color w:val="auto"/>
          <w:spacing w:val="6"/>
          <w:kern w:val="0"/>
          <w:sz w:val="32"/>
          <w:szCs w:val="32"/>
          <w:highlight w:val="none"/>
        </w:rPr>
      </w:pPr>
    </w:p>
    <w:p>
      <w:pPr>
        <w:numPr>
          <w:ilvl w:val="0"/>
          <w:numId w:val="5"/>
        </w:numPr>
        <w:adjustRightInd w:val="0"/>
        <w:spacing w:line="574" w:lineRule="exact"/>
        <w:jc w:val="center"/>
        <w:rPr>
          <w:rFonts w:hint="eastAsia" w:ascii="Times New Roman" w:hAnsi="Times New Roman" w:eastAsia="黑体" w:cs="Times New Roman"/>
          <w:color w:val="auto"/>
          <w:spacing w:val="6"/>
          <w:sz w:val="32"/>
          <w:szCs w:val="32"/>
          <w:highlight w:val="none"/>
        </w:rPr>
      </w:pPr>
      <w:r>
        <w:rPr>
          <w:rFonts w:hint="eastAsia" w:ascii="Times New Roman" w:hAnsi="Times New Roman" w:eastAsia="黑体" w:cs="Times New Roman"/>
          <w:color w:val="auto"/>
          <w:spacing w:val="6"/>
          <w:sz w:val="32"/>
          <w:szCs w:val="32"/>
          <w:highlight w:val="none"/>
        </w:rPr>
        <w:t>贴息</w:t>
      </w:r>
    </w:p>
    <w:p>
      <w:pPr>
        <w:spacing w:line="312" w:lineRule="auto"/>
        <w:ind w:firstLine="664"/>
        <w:jc w:val="both"/>
        <w:rPr>
          <w:rFonts w:hint="eastAsia" w:ascii="Times New Roman" w:hAnsi="Times New Roman" w:eastAsia="黑体" w:cs="Times New Roman"/>
          <w:color w:val="auto"/>
          <w:spacing w:val="6"/>
          <w:sz w:val="32"/>
          <w:szCs w:val="32"/>
          <w:highlight w:val="none"/>
          <w:lang w:val="en-US" w:eastAsia="zh-CN"/>
        </w:rPr>
      </w:pPr>
      <w:r>
        <w:rPr>
          <w:rFonts w:ascii="Times New Roman" w:hAnsi="Times New Roman" w:eastAsia="黑体" w:cs="Times New Roman"/>
          <w:color w:val="auto"/>
          <w:spacing w:val="6"/>
          <w:kern w:val="0"/>
          <w:sz w:val="32"/>
          <w:szCs w:val="32"/>
          <w:highlight w:val="none"/>
        </w:rPr>
        <w:t>第</w:t>
      </w:r>
      <w:r>
        <w:rPr>
          <w:rFonts w:hint="eastAsia" w:ascii="Times New Roman" w:hAnsi="Times New Roman" w:eastAsia="黑体" w:cs="Times New Roman"/>
          <w:color w:val="auto"/>
          <w:spacing w:val="6"/>
          <w:kern w:val="0"/>
          <w:sz w:val="32"/>
          <w:szCs w:val="32"/>
          <w:highlight w:val="none"/>
          <w:lang w:val="en-US" w:eastAsia="zh-CN"/>
        </w:rPr>
        <w:t>二十三</w:t>
      </w:r>
      <w:r>
        <w:rPr>
          <w:rFonts w:ascii="Times New Roman" w:hAnsi="Times New Roman" w:eastAsia="黑体" w:cs="Times New Roman"/>
          <w:color w:val="auto"/>
          <w:spacing w:val="6"/>
          <w:kern w:val="0"/>
          <w:sz w:val="32"/>
          <w:szCs w:val="32"/>
          <w:highlight w:val="none"/>
        </w:rPr>
        <w:t xml:space="preserve">条 </w:t>
      </w:r>
      <w:r>
        <w:rPr>
          <w:rFonts w:hint="eastAsia" w:ascii="Times New Roman" w:hAnsi="Times New Roman" w:eastAsia="仿宋_GB2312" w:cs="Times New Roman"/>
          <w:color w:val="auto"/>
          <w:spacing w:val="6"/>
          <w:sz w:val="32"/>
          <w:szCs w:val="32"/>
          <w:highlight w:val="none"/>
        </w:rPr>
        <w:t>贴息总额度以当年专项资金列支经费的额度为限。</w:t>
      </w:r>
    </w:p>
    <w:p>
      <w:pPr>
        <w:spacing w:line="312" w:lineRule="auto"/>
        <w:ind w:firstLine="664"/>
        <w:jc w:val="both"/>
        <w:rPr>
          <w:rFonts w:hint="eastAsia" w:ascii="仿宋_GB2312" w:hAnsi="仿宋_GB2312" w:eastAsia="仿宋_GB2312" w:cs="仿宋_GB2312"/>
          <w:bCs/>
          <w:color w:val="auto"/>
          <w:spacing w:val="6"/>
          <w:sz w:val="32"/>
          <w:szCs w:val="32"/>
          <w:highlight w:val="none"/>
          <w:lang w:val="en-US" w:eastAsia="zh-CN"/>
        </w:rPr>
      </w:pPr>
      <w:r>
        <w:rPr>
          <w:rFonts w:ascii="Times New Roman" w:hAnsi="Times New Roman" w:eastAsia="黑体" w:cs="Times New Roman"/>
          <w:bCs/>
          <w:color w:val="auto"/>
          <w:spacing w:val="6"/>
          <w:sz w:val="32"/>
          <w:szCs w:val="32"/>
          <w:highlight w:val="none"/>
        </w:rPr>
        <w:t>第</w:t>
      </w:r>
      <w:r>
        <w:rPr>
          <w:rFonts w:hint="eastAsia" w:ascii="Times New Roman" w:hAnsi="Times New Roman" w:eastAsia="黑体" w:cs="Times New Roman"/>
          <w:bCs/>
          <w:color w:val="auto"/>
          <w:spacing w:val="6"/>
          <w:sz w:val="32"/>
          <w:szCs w:val="32"/>
          <w:highlight w:val="none"/>
        </w:rPr>
        <w:t>二十</w:t>
      </w:r>
      <w:r>
        <w:rPr>
          <w:rFonts w:hint="eastAsia" w:ascii="Times New Roman" w:hAnsi="Times New Roman" w:eastAsia="黑体" w:cs="Times New Roman"/>
          <w:bCs/>
          <w:color w:val="auto"/>
          <w:spacing w:val="6"/>
          <w:sz w:val="32"/>
          <w:szCs w:val="32"/>
          <w:highlight w:val="none"/>
          <w:lang w:val="en-US" w:eastAsia="zh-CN"/>
        </w:rPr>
        <w:t>四</w:t>
      </w:r>
      <w:r>
        <w:rPr>
          <w:rFonts w:ascii="Times New Roman" w:hAnsi="Times New Roman" w:eastAsia="黑体" w:cs="Times New Roman"/>
          <w:bCs/>
          <w:color w:val="auto"/>
          <w:spacing w:val="6"/>
          <w:sz w:val="32"/>
          <w:szCs w:val="32"/>
          <w:highlight w:val="none"/>
        </w:rPr>
        <w:t xml:space="preserve">条 </w:t>
      </w:r>
      <w:r>
        <w:rPr>
          <w:rFonts w:hint="eastAsia" w:ascii="仿宋_GB2312" w:hAnsi="仿宋_GB2312" w:eastAsia="仿宋_GB2312" w:cs="仿宋_GB2312"/>
          <w:bCs/>
          <w:color w:val="auto"/>
          <w:spacing w:val="6"/>
          <w:sz w:val="32"/>
          <w:szCs w:val="32"/>
          <w:highlight w:val="none"/>
          <w:lang w:val="en-US" w:eastAsia="zh-CN"/>
        </w:rPr>
        <w:t>申请贴息的条件：</w:t>
      </w:r>
    </w:p>
    <w:p>
      <w:pPr>
        <w:numPr>
          <w:ilvl w:val="0"/>
          <w:numId w:val="6"/>
        </w:numPr>
        <w:spacing w:line="312" w:lineRule="auto"/>
        <w:ind w:firstLine="664"/>
        <w:jc w:val="both"/>
        <w:rPr>
          <w:rFonts w:hint="eastAsia" w:ascii="仿宋_GB2312" w:hAnsi="仿宋_GB2312" w:eastAsia="仿宋_GB2312" w:cs="仿宋_GB2312"/>
          <w:bCs/>
          <w:color w:val="auto"/>
          <w:spacing w:val="6"/>
          <w:sz w:val="32"/>
          <w:szCs w:val="32"/>
          <w:highlight w:val="none"/>
          <w:lang w:val="en-US" w:eastAsia="zh-CN"/>
        </w:rPr>
      </w:pPr>
      <w:r>
        <w:rPr>
          <w:rFonts w:hint="eastAsia" w:ascii="仿宋_GB2312" w:hAnsi="仿宋_GB2312" w:eastAsia="仿宋_GB2312" w:cs="仿宋_GB2312"/>
          <w:bCs/>
          <w:color w:val="auto"/>
          <w:spacing w:val="6"/>
          <w:sz w:val="32"/>
          <w:szCs w:val="32"/>
          <w:highlight w:val="none"/>
          <w:lang w:val="en-US" w:eastAsia="zh-CN"/>
        </w:rPr>
        <w:t>必须是《名录库》中的企业；</w:t>
      </w:r>
    </w:p>
    <w:p>
      <w:pPr>
        <w:numPr>
          <w:ilvl w:val="0"/>
          <w:numId w:val="6"/>
        </w:numPr>
        <w:spacing w:line="312" w:lineRule="auto"/>
        <w:ind w:firstLine="664"/>
        <w:jc w:val="both"/>
        <w:rPr>
          <w:rFonts w:hint="eastAsia" w:ascii="仿宋_GB2312" w:hAnsi="仿宋_GB2312" w:eastAsia="仿宋_GB2312" w:cs="仿宋_GB2312"/>
          <w:bCs/>
          <w:color w:val="auto"/>
          <w:spacing w:val="6"/>
          <w:sz w:val="32"/>
          <w:szCs w:val="32"/>
          <w:highlight w:val="none"/>
          <w:lang w:val="en-US" w:eastAsia="zh-CN"/>
        </w:rPr>
      </w:pPr>
      <w:r>
        <w:rPr>
          <w:rFonts w:hint="eastAsia" w:ascii="仿宋_GB2312" w:hAnsi="仿宋_GB2312" w:eastAsia="仿宋_GB2312" w:cs="仿宋_GB2312"/>
          <w:bCs/>
          <w:color w:val="auto"/>
          <w:spacing w:val="6"/>
          <w:sz w:val="32"/>
          <w:szCs w:val="32"/>
          <w:highlight w:val="none"/>
          <w:lang w:val="en-US" w:eastAsia="zh-CN"/>
        </w:rPr>
        <w:t>必须是本操作指引实施后发放的贷款；</w:t>
      </w:r>
    </w:p>
    <w:p>
      <w:pPr>
        <w:numPr>
          <w:ilvl w:val="0"/>
          <w:numId w:val="6"/>
        </w:numPr>
        <w:spacing w:line="312" w:lineRule="auto"/>
        <w:ind w:firstLine="664"/>
        <w:jc w:val="both"/>
        <w:rPr>
          <w:rFonts w:hint="eastAsia" w:ascii="仿宋_GB2312" w:hAnsi="仿宋_GB2312" w:eastAsia="仿宋_GB2312" w:cs="仿宋_GB2312"/>
          <w:bCs/>
          <w:color w:val="auto"/>
          <w:spacing w:val="6"/>
          <w:sz w:val="32"/>
          <w:szCs w:val="32"/>
          <w:highlight w:val="none"/>
          <w:lang w:val="en-US" w:eastAsia="zh-CN"/>
        </w:rPr>
      </w:pPr>
      <w:r>
        <w:rPr>
          <w:rFonts w:hint="eastAsia" w:ascii="仿宋_GB2312" w:hAnsi="仿宋_GB2312" w:eastAsia="仿宋_GB2312" w:cs="仿宋_GB2312"/>
          <w:bCs/>
          <w:color w:val="auto"/>
          <w:spacing w:val="6"/>
          <w:sz w:val="32"/>
          <w:szCs w:val="32"/>
          <w:highlight w:val="none"/>
          <w:lang w:val="en-US" w:eastAsia="zh-CN"/>
        </w:rPr>
        <w:t>企业申请贴息时增速达到第八条规定的标准；</w:t>
      </w:r>
    </w:p>
    <w:p>
      <w:pPr>
        <w:numPr>
          <w:ilvl w:val="0"/>
          <w:numId w:val="6"/>
        </w:numPr>
        <w:spacing w:line="312" w:lineRule="auto"/>
        <w:ind w:firstLine="664"/>
        <w:jc w:val="both"/>
        <w:rPr>
          <w:rFonts w:hint="eastAsia" w:ascii="仿宋_GB2312" w:hAnsi="仿宋_GB2312" w:eastAsia="仿宋_GB2312" w:cs="仿宋_GB2312"/>
          <w:bCs/>
          <w:color w:val="auto"/>
          <w:spacing w:val="6"/>
          <w:sz w:val="32"/>
          <w:szCs w:val="32"/>
          <w:highlight w:val="none"/>
          <w:lang w:val="en-US" w:eastAsia="zh-CN"/>
        </w:rPr>
      </w:pPr>
      <w:r>
        <w:rPr>
          <w:rFonts w:hint="eastAsia" w:ascii="仿宋_GB2312" w:hAnsi="仿宋_GB2312" w:eastAsia="仿宋_GB2312" w:cs="仿宋_GB2312"/>
          <w:bCs/>
          <w:color w:val="auto"/>
          <w:spacing w:val="6"/>
          <w:sz w:val="32"/>
          <w:szCs w:val="32"/>
          <w:highlight w:val="none"/>
          <w:lang w:val="en-US" w:eastAsia="zh-CN"/>
        </w:rPr>
        <w:t>所获得的本操作指引下贷款和利息在申请贴息时已还清。</w:t>
      </w:r>
    </w:p>
    <w:p>
      <w:pPr>
        <w:spacing w:line="312" w:lineRule="auto"/>
        <w:ind w:firstLine="664"/>
        <w:jc w:val="both"/>
        <w:rPr>
          <w:rFonts w:ascii="Times New Roman" w:hAnsi="Times New Roman" w:eastAsia="仿宋_GB2312" w:cs="Times New Roman"/>
          <w:color w:val="auto"/>
          <w:spacing w:val="6"/>
          <w:kern w:val="0"/>
          <w:sz w:val="32"/>
          <w:szCs w:val="32"/>
          <w:highlight w:val="none"/>
        </w:rPr>
      </w:pPr>
      <w:r>
        <w:rPr>
          <w:rFonts w:ascii="Times New Roman" w:hAnsi="Times New Roman" w:eastAsia="黑体" w:cs="Times New Roman"/>
          <w:bCs/>
          <w:color w:val="auto"/>
          <w:spacing w:val="6"/>
          <w:sz w:val="32"/>
          <w:szCs w:val="32"/>
          <w:highlight w:val="none"/>
        </w:rPr>
        <w:t>第</w:t>
      </w:r>
      <w:r>
        <w:rPr>
          <w:rFonts w:hint="eastAsia" w:ascii="Times New Roman" w:hAnsi="Times New Roman" w:eastAsia="黑体" w:cs="Times New Roman"/>
          <w:bCs/>
          <w:color w:val="auto"/>
          <w:spacing w:val="6"/>
          <w:sz w:val="32"/>
          <w:szCs w:val="32"/>
          <w:highlight w:val="none"/>
        </w:rPr>
        <w:t>二十</w:t>
      </w:r>
      <w:r>
        <w:rPr>
          <w:rFonts w:hint="eastAsia" w:ascii="Times New Roman" w:hAnsi="Times New Roman" w:eastAsia="黑体" w:cs="Times New Roman"/>
          <w:bCs/>
          <w:color w:val="auto"/>
          <w:spacing w:val="6"/>
          <w:sz w:val="32"/>
          <w:szCs w:val="32"/>
          <w:highlight w:val="none"/>
          <w:lang w:val="en-US" w:eastAsia="zh-CN"/>
        </w:rPr>
        <w:t>五</w:t>
      </w:r>
      <w:r>
        <w:rPr>
          <w:rFonts w:ascii="Times New Roman" w:hAnsi="Times New Roman" w:eastAsia="黑体" w:cs="Times New Roman"/>
          <w:bCs/>
          <w:color w:val="auto"/>
          <w:spacing w:val="6"/>
          <w:sz w:val="32"/>
          <w:szCs w:val="32"/>
          <w:highlight w:val="none"/>
        </w:rPr>
        <w:t>条</w:t>
      </w:r>
      <w:r>
        <w:rPr>
          <w:rFonts w:ascii="Times New Roman" w:hAnsi="Times New Roman" w:eastAsia="仿宋_GB2312" w:cs="Times New Roman"/>
          <w:color w:val="auto"/>
          <w:spacing w:val="6"/>
          <w:sz w:val="32"/>
          <w:szCs w:val="32"/>
          <w:highlight w:val="none"/>
        </w:rPr>
        <w:t xml:space="preserve"> </w:t>
      </w:r>
      <w:r>
        <w:rPr>
          <w:rFonts w:hint="eastAsia" w:ascii="Times New Roman" w:hAnsi="Times New Roman" w:eastAsia="仿宋_GB2312" w:cs="Times New Roman"/>
          <w:color w:val="auto"/>
          <w:spacing w:val="6"/>
          <w:kern w:val="0"/>
          <w:sz w:val="32"/>
          <w:szCs w:val="32"/>
          <w:highlight w:val="none"/>
        </w:rPr>
        <w:t>企业申请贴息需提交如下材料：</w:t>
      </w:r>
    </w:p>
    <w:p>
      <w:pPr>
        <w:spacing w:line="312" w:lineRule="auto"/>
        <w:ind w:firstLine="664"/>
        <w:jc w:val="both"/>
        <w:rPr>
          <w:rFonts w:ascii="Times New Roman" w:hAnsi="Times New Roman" w:eastAsia="仿宋_GB2312" w:cs="Times New Roman"/>
          <w:color w:val="auto"/>
          <w:spacing w:val="6"/>
          <w:kern w:val="0"/>
          <w:sz w:val="32"/>
          <w:szCs w:val="32"/>
          <w:highlight w:val="none"/>
        </w:rPr>
      </w:pPr>
      <w:r>
        <w:rPr>
          <w:rFonts w:hint="eastAsia" w:ascii="Times New Roman" w:hAnsi="Times New Roman" w:eastAsia="仿宋_GB2312" w:cs="Times New Roman"/>
          <w:color w:val="auto"/>
          <w:spacing w:val="6"/>
          <w:kern w:val="0"/>
          <w:sz w:val="32"/>
          <w:szCs w:val="32"/>
          <w:highlight w:val="none"/>
        </w:rPr>
        <w:t>（一）经放款银行盖章确认的《中山火炬开发区企业担保金信贷贴息申请表》（附件5）；</w:t>
      </w:r>
    </w:p>
    <w:p>
      <w:pPr>
        <w:spacing w:line="312" w:lineRule="auto"/>
        <w:ind w:firstLine="664"/>
        <w:jc w:val="both"/>
        <w:rPr>
          <w:rFonts w:ascii="Times New Roman" w:hAnsi="Times New Roman" w:eastAsia="仿宋_GB2312" w:cs="Times New Roman"/>
          <w:color w:val="auto"/>
          <w:spacing w:val="6"/>
          <w:kern w:val="0"/>
          <w:sz w:val="32"/>
          <w:szCs w:val="32"/>
          <w:highlight w:val="none"/>
        </w:rPr>
      </w:pPr>
      <w:r>
        <w:rPr>
          <w:rFonts w:hint="eastAsia" w:ascii="Times New Roman" w:hAnsi="Times New Roman" w:eastAsia="仿宋_GB2312" w:cs="Times New Roman"/>
          <w:color w:val="auto"/>
          <w:spacing w:val="6"/>
          <w:kern w:val="0"/>
          <w:sz w:val="32"/>
          <w:szCs w:val="32"/>
          <w:highlight w:val="none"/>
        </w:rPr>
        <w:t>（二）“一照一码”营业执照复印件（企业工商登记日期在2016年9月30日以前的，需同时提供组织机构代码证复印件）；</w:t>
      </w:r>
    </w:p>
    <w:p>
      <w:pPr>
        <w:spacing w:line="312" w:lineRule="auto"/>
        <w:ind w:firstLine="664"/>
        <w:jc w:val="both"/>
        <w:rPr>
          <w:rFonts w:ascii="Times New Roman" w:hAnsi="Times New Roman" w:eastAsia="仿宋_GB2312" w:cs="Times New Roman"/>
          <w:color w:val="auto"/>
          <w:spacing w:val="6"/>
          <w:kern w:val="0"/>
          <w:sz w:val="32"/>
          <w:szCs w:val="32"/>
          <w:highlight w:val="none"/>
        </w:rPr>
      </w:pPr>
      <w:r>
        <w:rPr>
          <w:rFonts w:hint="eastAsia" w:ascii="Times New Roman" w:hAnsi="Times New Roman" w:eastAsia="仿宋_GB2312" w:cs="Times New Roman"/>
          <w:color w:val="auto"/>
          <w:spacing w:val="6"/>
          <w:kern w:val="0"/>
          <w:sz w:val="32"/>
          <w:szCs w:val="32"/>
          <w:highlight w:val="none"/>
        </w:rPr>
        <w:t>（三）与银行签订的授信协议或借款协议或贷款合同复印件；</w:t>
      </w:r>
    </w:p>
    <w:p>
      <w:pPr>
        <w:spacing w:line="312" w:lineRule="auto"/>
        <w:ind w:firstLine="664"/>
        <w:jc w:val="both"/>
        <w:rPr>
          <w:rFonts w:ascii="Times New Roman" w:hAnsi="Times New Roman" w:eastAsia="仿宋_GB2312" w:cs="Times New Roman"/>
          <w:color w:val="auto"/>
          <w:spacing w:val="6"/>
          <w:kern w:val="0"/>
          <w:sz w:val="32"/>
          <w:szCs w:val="32"/>
          <w:highlight w:val="none"/>
        </w:rPr>
      </w:pPr>
      <w:r>
        <w:rPr>
          <w:rFonts w:hint="eastAsia" w:ascii="Times New Roman" w:hAnsi="Times New Roman" w:eastAsia="仿宋_GB2312" w:cs="Times New Roman"/>
          <w:color w:val="auto"/>
          <w:spacing w:val="6"/>
          <w:kern w:val="0"/>
          <w:sz w:val="32"/>
          <w:szCs w:val="32"/>
          <w:highlight w:val="none"/>
        </w:rPr>
        <w:t>（四）银行发放贷款凭证（借据）和付息凭证（银行利息单、发票或付息流水）复印件；</w:t>
      </w:r>
    </w:p>
    <w:p>
      <w:pPr>
        <w:spacing w:line="312" w:lineRule="auto"/>
        <w:ind w:firstLine="664"/>
        <w:jc w:val="both"/>
        <w:rPr>
          <w:rFonts w:ascii="Times New Roman" w:hAnsi="Times New Roman" w:eastAsia="仿宋_GB2312" w:cs="Times New Roman"/>
          <w:color w:val="auto"/>
          <w:spacing w:val="6"/>
          <w:kern w:val="0"/>
          <w:sz w:val="32"/>
          <w:szCs w:val="32"/>
          <w:highlight w:val="none"/>
        </w:rPr>
      </w:pPr>
      <w:r>
        <w:rPr>
          <w:rFonts w:hint="eastAsia" w:ascii="Times New Roman" w:hAnsi="Times New Roman" w:eastAsia="仿宋_GB2312" w:cs="Times New Roman"/>
          <w:color w:val="auto"/>
          <w:spacing w:val="6"/>
          <w:kern w:val="0"/>
          <w:sz w:val="32"/>
          <w:szCs w:val="32"/>
          <w:highlight w:val="none"/>
        </w:rPr>
        <w:t>（五）还款证明材料（还款回单等）复印件；</w:t>
      </w:r>
    </w:p>
    <w:p>
      <w:pPr>
        <w:spacing w:line="312" w:lineRule="auto"/>
        <w:ind w:firstLine="664"/>
        <w:jc w:val="both"/>
        <w:rPr>
          <w:rFonts w:ascii="Times New Roman" w:hAnsi="Times New Roman" w:eastAsia="仿宋_GB2312" w:cs="Times New Roman"/>
          <w:color w:val="auto"/>
          <w:spacing w:val="6"/>
          <w:kern w:val="0"/>
          <w:sz w:val="32"/>
          <w:szCs w:val="32"/>
          <w:highlight w:val="none"/>
        </w:rPr>
      </w:pPr>
      <w:r>
        <w:rPr>
          <w:rFonts w:hint="eastAsia" w:ascii="Times New Roman" w:hAnsi="Times New Roman" w:eastAsia="仿宋_GB2312" w:cs="Times New Roman"/>
          <w:color w:val="auto"/>
          <w:spacing w:val="6"/>
          <w:kern w:val="0"/>
          <w:sz w:val="32"/>
          <w:szCs w:val="32"/>
          <w:highlight w:val="none"/>
        </w:rPr>
        <w:t>（六）企业征信报告（信贷记录明细所列已结清业务须包含贴息申请的信贷业务贷款项目）；</w:t>
      </w:r>
    </w:p>
    <w:p>
      <w:pPr>
        <w:spacing w:line="312" w:lineRule="auto"/>
        <w:ind w:firstLine="664"/>
        <w:jc w:val="both"/>
        <w:rPr>
          <w:rFonts w:ascii="Times New Roman" w:hAnsi="Times New Roman" w:eastAsia="仿宋_GB2312" w:cs="Times New Roman"/>
          <w:color w:val="auto"/>
          <w:spacing w:val="6"/>
          <w:kern w:val="0"/>
          <w:sz w:val="32"/>
          <w:szCs w:val="32"/>
          <w:highlight w:val="none"/>
        </w:rPr>
      </w:pPr>
      <w:r>
        <w:rPr>
          <w:rFonts w:hint="eastAsia" w:ascii="Times New Roman" w:hAnsi="Times New Roman" w:eastAsia="仿宋_GB2312" w:cs="Times New Roman"/>
          <w:color w:val="auto"/>
          <w:spacing w:val="6"/>
          <w:kern w:val="0"/>
          <w:sz w:val="32"/>
          <w:szCs w:val="32"/>
          <w:highlight w:val="none"/>
        </w:rPr>
        <w:t>（七）企业上一年度和前一个会计年度的纳税申报表</w:t>
      </w:r>
      <w:r>
        <w:rPr>
          <w:rFonts w:hint="eastAsia" w:ascii="Times New Roman" w:hAnsi="Times New Roman" w:eastAsia="仿宋_GB2312" w:cs="Times New Roman"/>
          <w:color w:val="auto"/>
          <w:spacing w:val="6"/>
          <w:kern w:val="0"/>
          <w:sz w:val="32"/>
          <w:szCs w:val="32"/>
          <w:highlight w:val="none"/>
          <w:lang w:eastAsia="zh-CN"/>
        </w:rPr>
        <w:t>（</w:t>
      </w:r>
      <w:r>
        <w:rPr>
          <w:rFonts w:hint="eastAsia" w:ascii="Times New Roman" w:hAnsi="Times New Roman" w:eastAsia="仿宋_GB2312" w:cs="Times New Roman"/>
          <w:color w:val="auto"/>
          <w:spacing w:val="6"/>
          <w:kern w:val="0"/>
          <w:sz w:val="32"/>
          <w:szCs w:val="32"/>
          <w:highlight w:val="none"/>
          <w:lang w:val="en-US" w:eastAsia="zh-CN"/>
        </w:rPr>
        <w:t>包括所得税和增值税纳税申报表</w:t>
      </w:r>
      <w:r>
        <w:rPr>
          <w:rFonts w:hint="eastAsia" w:ascii="Times New Roman" w:hAnsi="Times New Roman" w:eastAsia="仿宋_GB2312" w:cs="Times New Roman"/>
          <w:color w:val="auto"/>
          <w:spacing w:val="6"/>
          <w:kern w:val="0"/>
          <w:sz w:val="32"/>
          <w:szCs w:val="32"/>
          <w:highlight w:val="none"/>
          <w:lang w:eastAsia="zh-CN"/>
        </w:rPr>
        <w:t>）</w:t>
      </w:r>
      <w:r>
        <w:rPr>
          <w:rFonts w:hint="eastAsia" w:ascii="Times New Roman" w:hAnsi="Times New Roman" w:eastAsia="仿宋_GB2312" w:cs="Times New Roman"/>
          <w:color w:val="auto"/>
          <w:spacing w:val="6"/>
          <w:kern w:val="0"/>
          <w:sz w:val="32"/>
          <w:szCs w:val="32"/>
          <w:highlight w:val="none"/>
        </w:rPr>
        <w:t>；</w:t>
      </w:r>
    </w:p>
    <w:p>
      <w:pPr>
        <w:spacing w:line="312" w:lineRule="auto"/>
        <w:ind w:firstLine="664"/>
        <w:jc w:val="both"/>
        <w:rPr>
          <w:rFonts w:ascii="Times New Roman" w:hAnsi="Times New Roman" w:eastAsia="仿宋_GB2312" w:cs="Times New Roman"/>
          <w:color w:val="auto"/>
          <w:spacing w:val="6"/>
          <w:kern w:val="0"/>
          <w:sz w:val="32"/>
          <w:szCs w:val="32"/>
          <w:highlight w:val="none"/>
        </w:rPr>
      </w:pPr>
      <w:r>
        <w:rPr>
          <w:rFonts w:hint="eastAsia" w:ascii="Times New Roman" w:hAnsi="Times New Roman" w:eastAsia="仿宋_GB2312" w:cs="Times New Roman"/>
          <w:color w:val="auto"/>
          <w:spacing w:val="6"/>
          <w:kern w:val="0"/>
          <w:sz w:val="32"/>
          <w:szCs w:val="32"/>
          <w:highlight w:val="none"/>
        </w:rPr>
        <w:t>（八）其他相关材料。</w:t>
      </w:r>
    </w:p>
    <w:p>
      <w:pPr>
        <w:spacing w:line="312" w:lineRule="auto"/>
        <w:ind w:firstLine="664"/>
        <w:jc w:val="both"/>
        <w:rPr>
          <w:rFonts w:ascii="Times New Roman" w:hAnsi="Times New Roman" w:eastAsia="仿宋_GB2312" w:cs="Times New Roman"/>
          <w:color w:val="auto"/>
          <w:spacing w:val="6"/>
          <w:kern w:val="0"/>
          <w:sz w:val="32"/>
          <w:szCs w:val="32"/>
          <w:highlight w:val="none"/>
        </w:rPr>
      </w:pPr>
      <w:r>
        <w:rPr>
          <w:rFonts w:hint="eastAsia" w:ascii="Times New Roman" w:hAnsi="Times New Roman" w:eastAsia="仿宋_GB2312" w:cs="Times New Roman"/>
          <w:color w:val="auto"/>
          <w:spacing w:val="6"/>
          <w:kern w:val="0"/>
          <w:sz w:val="32"/>
          <w:szCs w:val="32"/>
          <w:highlight w:val="none"/>
        </w:rPr>
        <w:t>上述材料为复印件的均需加盖企业公章。材料（二）至（八）只需上传至区服务平台，免提交纸质材料。</w:t>
      </w:r>
    </w:p>
    <w:p>
      <w:pPr>
        <w:spacing w:line="312" w:lineRule="auto"/>
        <w:ind w:firstLine="664" w:firstLineChars="200"/>
        <w:jc w:val="both"/>
        <w:rPr>
          <w:rFonts w:hint="eastAsia" w:ascii="Times New Roman" w:hAnsi="Times New Roman" w:eastAsia="仿宋_GB2312" w:cs="Times New Roman"/>
          <w:color w:val="auto"/>
          <w:spacing w:val="6"/>
          <w:sz w:val="32"/>
          <w:szCs w:val="32"/>
          <w:highlight w:val="none"/>
          <w:lang w:val="en-US" w:eastAsia="zh-CN"/>
        </w:rPr>
      </w:pPr>
      <w:r>
        <w:rPr>
          <w:rFonts w:ascii="Times New Roman" w:hAnsi="Times New Roman" w:eastAsia="黑体" w:cs="Times New Roman"/>
          <w:bCs/>
          <w:color w:val="auto"/>
          <w:spacing w:val="6"/>
          <w:sz w:val="32"/>
          <w:szCs w:val="32"/>
          <w:highlight w:val="none"/>
        </w:rPr>
        <w:t>第</w:t>
      </w:r>
      <w:r>
        <w:rPr>
          <w:rFonts w:hint="eastAsia" w:ascii="Times New Roman" w:hAnsi="Times New Roman" w:eastAsia="黑体" w:cs="Times New Roman"/>
          <w:bCs/>
          <w:color w:val="auto"/>
          <w:spacing w:val="6"/>
          <w:sz w:val="32"/>
          <w:szCs w:val="32"/>
          <w:highlight w:val="none"/>
        </w:rPr>
        <w:t>二十</w:t>
      </w:r>
      <w:r>
        <w:rPr>
          <w:rFonts w:hint="eastAsia" w:ascii="Times New Roman" w:hAnsi="Times New Roman" w:eastAsia="黑体" w:cs="Times New Roman"/>
          <w:bCs/>
          <w:color w:val="auto"/>
          <w:spacing w:val="6"/>
          <w:sz w:val="32"/>
          <w:szCs w:val="32"/>
          <w:highlight w:val="none"/>
          <w:lang w:val="en-US" w:eastAsia="zh-CN"/>
        </w:rPr>
        <w:t>六</w:t>
      </w:r>
      <w:r>
        <w:rPr>
          <w:rFonts w:ascii="Times New Roman" w:hAnsi="Times New Roman" w:eastAsia="黑体" w:cs="Times New Roman"/>
          <w:bCs/>
          <w:color w:val="auto"/>
          <w:spacing w:val="6"/>
          <w:sz w:val="32"/>
          <w:szCs w:val="32"/>
          <w:highlight w:val="none"/>
        </w:rPr>
        <w:t>条</w:t>
      </w:r>
      <w:r>
        <w:rPr>
          <w:rFonts w:ascii="Times New Roman" w:hAnsi="Times New Roman" w:eastAsia="仿宋_GB2312" w:cs="Times New Roman"/>
          <w:color w:val="auto"/>
          <w:spacing w:val="6"/>
          <w:sz w:val="32"/>
          <w:szCs w:val="32"/>
          <w:highlight w:val="none"/>
        </w:rPr>
        <w:t xml:space="preserve"> </w:t>
      </w:r>
      <w:r>
        <w:rPr>
          <w:rFonts w:hint="eastAsia" w:ascii="Times New Roman" w:hAnsi="Times New Roman" w:eastAsia="仿宋_GB2312" w:cs="Times New Roman"/>
          <w:color w:val="auto"/>
          <w:spacing w:val="6"/>
          <w:sz w:val="32"/>
          <w:szCs w:val="32"/>
          <w:highlight w:val="none"/>
          <w:lang w:val="en-US" w:eastAsia="zh-CN"/>
        </w:rPr>
        <w:t>高成长企业</w:t>
      </w:r>
      <w:r>
        <w:rPr>
          <w:rFonts w:hint="eastAsia" w:ascii="Times New Roman" w:hAnsi="Times New Roman" w:eastAsia="仿宋_GB2312" w:cs="Times New Roman"/>
          <w:color w:val="auto"/>
          <w:spacing w:val="6"/>
          <w:sz w:val="32"/>
          <w:szCs w:val="32"/>
          <w:highlight w:val="none"/>
        </w:rPr>
        <w:t>信贷业务贴息</w:t>
      </w:r>
      <w:r>
        <w:rPr>
          <w:rFonts w:hint="eastAsia" w:ascii="Times New Roman" w:hAnsi="Times New Roman" w:eastAsia="仿宋_GB2312" w:cs="Times New Roman"/>
          <w:color w:val="auto"/>
          <w:spacing w:val="6"/>
          <w:sz w:val="32"/>
          <w:szCs w:val="32"/>
          <w:highlight w:val="none"/>
          <w:lang w:val="en-US" w:eastAsia="zh-CN"/>
        </w:rPr>
        <w:t>采取集中受理和审核，由区科技金融中心负责组织申报，</w:t>
      </w:r>
      <w:r>
        <w:rPr>
          <w:rFonts w:hint="eastAsia" w:ascii="Times New Roman" w:hAnsi="Times New Roman" w:eastAsia="仿宋_GB2312" w:cs="Times New Roman"/>
          <w:color w:val="auto"/>
          <w:spacing w:val="6"/>
          <w:sz w:val="32"/>
          <w:szCs w:val="32"/>
          <w:highlight w:val="none"/>
        </w:rPr>
        <w:t>区经科局</w:t>
      </w:r>
      <w:r>
        <w:rPr>
          <w:rFonts w:hint="eastAsia" w:ascii="Times New Roman" w:hAnsi="Times New Roman" w:eastAsia="仿宋_GB2312" w:cs="Times New Roman"/>
          <w:color w:val="auto"/>
          <w:spacing w:val="6"/>
          <w:sz w:val="32"/>
          <w:szCs w:val="32"/>
          <w:highlight w:val="none"/>
          <w:lang w:val="en-US" w:eastAsia="zh-CN"/>
        </w:rPr>
        <w:t>进行初步审核提出初审意见，上报区管委会审定。</w:t>
      </w:r>
    </w:p>
    <w:p>
      <w:pPr>
        <w:spacing w:line="312" w:lineRule="auto"/>
        <w:ind w:firstLine="664" w:firstLineChars="200"/>
        <w:jc w:val="both"/>
        <w:rPr>
          <w:rFonts w:hint="eastAsia" w:ascii="Times New Roman" w:hAnsi="Times New Roman" w:eastAsia="仿宋_GB2312" w:cs="Times New Roman"/>
          <w:color w:val="auto"/>
          <w:spacing w:val="6"/>
          <w:sz w:val="32"/>
          <w:szCs w:val="32"/>
          <w:highlight w:val="none"/>
          <w:lang w:val="en-US" w:eastAsia="zh-CN"/>
        </w:rPr>
      </w:pPr>
    </w:p>
    <w:p>
      <w:pPr>
        <w:spacing w:line="312" w:lineRule="auto"/>
        <w:jc w:val="center"/>
        <w:rPr>
          <w:rFonts w:ascii="Times New Roman" w:hAnsi="Times New Roman" w:eastAsia="黑体" w:cs="Times New Roman"/>
          <w:bCs/>
          <w:color w:val="auto"/>
          <w:spacing w:val="6"/>
          <w:sz w:val="32"/>
          <w:szCs w:val="32"/>
          <w:highlight w:val="none"/>
        </w:rPr>
      </w:pPr>
      <w:r>
        <w:rPr>
          <w:rFonts w:hint="eastAsia" w:ascii="Times New Roman" w:hAnsi="Times New Roman" w:eastAsia="黑体" w:cs="Times New Roman"/>
          <w:color w:val="auto"/>
          <w:spacing w:val="6"/>
          <w:sz w:val="32"/>
          <w:szCs w:val="32"/>
          <w:highlight w:val="none"/>
        </w:rPr>
        <w:t>第六章 贷款风险处置及补偿程序</w:t>
      </w:r>
    </w:p>
    <w:p>
      <w:pPr>
        <w:spacing w:line="312" w:lineRule="auto"/>
        <w:ind w:firstLine="664"/>
        <w:jc w:val="both"/>
        <w:rPr>
          <w:rFonts w:ascii="Times New Roman" w:hAnsi="Times New Roman" w:eastAsia="仿宋_GB2312" w:cs="Times New Roman"/>
          <w:snapToGrid w:val="0"/>
          <w:color w:val="auto"/>
          <w:spacing w:val="6"/>
          <w:kern w:val="0"/>
          <w:sz w:val="32"/>
          <w:szCs w:val="32"/>
          <w:highlight w:val="none"/>
        </w:rPr>
      </w:pPr>
      <w:r>
        <w:rPr>
          <w:rFonts w:ascii="Times New Roman" w:hAnsi="Times New Roman" w:eastAsia="黑体" w:cs="Times New Roman"/>
          <w:bCs/>
          <w:color w:val="auto"/>
          <w:spacing w:val="6"/>
          <w:sz w:val="32"/>
          <w:szCs w:val="32"/>
          <w:highlight w:val="none"/>
        </w:rPr>
        <w:t>第</w:t>
      </w:r>
      <w:r>
        <w:rPr>
          <w:rFonts w:hint="eastAsia" w:ascii="Times New Roman" w:hAnsi="Times New Roman" w:eastAsia="黑体" w:cs="Times New Roman"/>
          <w:bCs/>
          <w:color w:val="auto"/>
          <w:spacing w:val="6"/>
          <w:sz w:val="32"/>
          <w:szCs w:val="32"/>
          <w:highlight w:val="none"/>
        </w:rPr>
        <w:t>二十</w:t>
      </w:r>
      <w:r>
        <w:rPr>
          <w:rFonts w:hint="eastAsia" w:ascii="Times New Roman" w:hAnsi="Times New Roman" w:eastAsia="黑体" w:cs="Times New Roman"/>
          <w:bCs/>
          <w:color w:val="auto"/>
          <w:spacing w:val="6"/>
          <w:sz w:val="32"/>
          <w:szCs w:val="32"/>
          <w:highlight w:val="none"/>
          <w:lang w:val="en-US" w:eastAsia="zh-CN"/>
        </w:rPr>
        <w:t>七</w:t>
      </w:r>
      <w:r>
        <w:rPr>
          <w:rFonts w:ascii="Times New Roman" w:hAnsi="Times New Roman" w:eastAsia="黑体" w:cs="Times New Roman"/>
          <w:bCs/>
          <w:color w:val="auto"/>
          <w:spacing w:val="6"/>
          <w:sz w:val="32"/>
          <w:szCs w:val="32"/>
          <w:highlight w:val="none"/>
        </w:rPr>
        <w:t xml:space="preserve">条 </w:t>
      </w:r>
      <w:r>
        <w:rPr>
          <w:rFonts w:hint="eastAsia" w:ascii="Times New Roman" w:hAnsi="Times New Roman" w:eastAsia="仿宋_GB2312" w:cs="Times New Roman"/>
          <w:snapToGrid w:val="0"/>
          <w:color w:val="auto"/>
          <w:spacing w:val="6"/>
          <w:kern w:val="0"/>
          <w:sz w:val="32"/>
          <w:szCs w:val="32"/>
          <w:highlight w:val="none"/>
        </w:rPr>
        <w:t>当企业发生贷款风险时，由合作银行追偿。贷款企业发生贷款本金或利息逾期后由合作银行根据企业实际情况采取催收措施，追索回的资金不足以偿还银行债权的，应启动诉讼追收程序。</w:t>
      </w:r>
    </w:p>
    <w:p>
      <w:pPr>
        <w:spacing w:line="312" w:lineRule="auto"/>
        <w:ind w:firstLine="664"/>
        <w:jc w:val="both"/>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法院或仲裁机构正式立案后，由合作银行向受托管理机构提交立案文书及相关材料，经受托管理机构审核后，报区管委会审批。</w:t>
      </w:r>
    </w:p>
    <w:p>
      <w:pPr>
        <w:spacing w:line="312" w:lineRule="auto"/>
        <w:ind w:firstLine="664"/>
        <w:jc w:val="both"/>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根据区管委会批复，单笔贷款金额按区间比例分摊风险向合作银行以担保金支付补偿金，以资金池总额为限。</w:t>
      </w:r>
    </w:p>
    <w:p>
      <w:pPr>
        <w:pStyle w:val="15"/>
        <w:spacing w:line="312" w:lineRule="auto"/>
        <w:ind w:firstLine="664"/>
        <w:jc w:val="both"/>
        <w:rPr>
          <w:rFonts w:ascii="Times New Roman" w:hAnsi="Times New Roman" w:eastAsia="仿宋_GB2312" w:cs="Times New Roman"/>
          <w:snapToGrid w:val="0"/>
          <w:color w:val="auto"/>
          <w:spacing w:val="6"/>
          <w:kern w:val="0"/>
          <w:sz w:val="32"/>
          <w:szCs w:val="32"/>
          <w:highlight w:val="none"/>
        </w:rPr>
      </w:pPr>
      <w:r>
        <w:rPr>
          <w:rFonts w:ascii="Times New Roman" w:hAnsi="Times New Roman" w:eastAsia="黑体" w:cs="Times New Roman"/>
          <w:bCs/>
          <w:color w:val="auto"/>
          <w:spacing w:val="6"/>
          <w:sz w:val="32"/>
          <w:szCs w:val="32"/>
          <w:highlight w:val="none"/>
        </w:rPr>
        <w:t>第</w:t>
      </w:r>
      <w:r>
        <w:rPr>
          <w:rFonts w:hint="eastAsia" w:ascii="Times New Roman" w:hAnsi="Times New Roman" w:eastAsia="黑体" w:cs="Times New Roman"/>
          <w:bCs/>
          <w:color w:val="auto"/>
          <w:spacing w:val="6"/>
          <w:sz w:val="32"/>
          <w:szCs w:val="32"/>
          <w:highlight w:val="none"/>
          <w:lang w:val="en-US" w:eastAsia="zh-CN"/>
        </w:rPr>
        <w:t>二十八</w:t>
      </w:r>
      <w:r>
        <w:rPr>
          <w:rFonts w:ascii="Times New Roman" w:hAnsi="Times New Roman" w:eastAsia="黑体" w:cs="Times New Roman"/>
          <w:bCs/>
          <w:color w:val="auto"/>
          <w:spacing w:val="6"/>
          <w:sz w:val="32"/>
          <w:szCs w:val="32"/>
          <w:highlight w:val="none"/>
        </w:rPr>
        <w:t xml:space="preserve">条 </w:t>
      </w:r>
      <w:r>
        <w:rPr>
          <w:rFonts w:hint="eastAsia" w:ascii="Times New Roman" w:hAnsi="Times New Roman" w:eastAsia="仿宋_GB2312" w:cs="Times New Roman"/>
          <w:snapToGrid w:val="0"/>
          <w:color w:val="auto"/>
          <w:spacing w:val="6"/>
          <w:kern w:val="0"/>
          <w:sz w:val="32"/>
          <w:szCs w:val="32"/>
          <w:highlight w:val="none"/>
        </w:rPr>
        <w:t>受托管理机构支付的补偿金是对合作银行的风险补偿，并不属于代企业履行还款义务，不影响合作银行与企业之间的债权债务金额及担保物权金额，企业仍有义务向合作银行偿还全部贷款本息，合作银行有权就全部欠款向企业提起诉讼或仲裁。合作银行收回欠款后，另行与提供补偿金方协商担保金退款事宜，与企业无关。</w:t>
      </w:r>
      <w:r>
        <w:rPr>
          <w:rFonts w:hint="eastAsia" w:ascii="Times New Roman" w:hAnsi="Times New Roman" w:eastAsia="仿宋_GB2312" w:cs="Times New Roman"/>
          <w:snapToGrid w:val="0"/>
          <w:color w:val="auto"/>
          <w:spacing w:val="6"/>
          <w:kern w:val="0"/>
          <w:sz w:val="32"/>
          <w:szCs w:val="32"/>
          <w:highlight w:val="none"/>
          <w:u w:val="none"/>
        </w:rPr>
        <w:t>受托管理机构应在与合作银行签订的《合作协议》中明确，</w:t>
      </w:r>
      <w:r>
        <w:rPr>
          <w:rFonts w:hint="eastAsia" w:ascii="Times New Roman" w:hAnsi="Times New Roman" w:eastAsia="仿宋_GB2312" w:cs="Times New Roman"/>
          <w:snapToGrid w:val="0"/>
          <w:color w:val="auto"/>
          <w:spacing w:val="6"/>
          <w:kern w:val="0"/>
          <w:sz w:val="32"/>
          <w:szCs w:val="32"/>
          <w:highlight w:val="none"/>
        </w:rPr>
        <w:t>合作银行应在与企业</w:t>
      </w:r>
      <w:r>
        <w:rPr>
          <w:rFonts w:hint="eastAsia" w:ascii="Times New Roman" w:hAnsi="Times New Roman" w:eastAsia="仿宋_GB2312" w:cs="Times New Roman"/>
          <w:snapToGrid w:val="0"/>
          <w:color w:val="auto"/>
          <w:spacing w:val="6"/>
          <w:kern w:val="0"/>
          <w:sz w:val="32"/>
          <w:szCs w:val="32"/>
          <w:highlight w:val="none"/>
          <w:lang w:val="en-US" w:eastAsia="zh-CN"/>
        </w:rPr>
        <w:t>签订的</w:t>
      </w:r>
      <w:r>
        <w:rPr>
          <w:rFonts w:hint="eastAsia" w:ascii="Times New Roman" w:hAnsi="Times New Roman" w:eastAsia="仿宋_GB2312" w:cs="Times New Roman"/>
          <w:snapToGrid w:val="0"/>
          <w:color w:val="auto"/>
          <w:spacing w:val="6"/>
          <w:kern w:val="0"/>
          <w:sz w:val="32"/>
          <w:szCs w:val="32"/>
          <w:highlight w:val="none"/>
        </w:rPr>
        <w:t>《借款合同》中明确。</w:t>
      </w:r>
    </w:p>
    <w:p>
      <w:pPr>
        <w:spacing w:line="312" w:lineRule="auto"/>
        <w:ind w:firstLine="664"/>
        <w:jc w:val="both"/>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受托管理机构履行补偿责任后，由合作银行向企业进行追索及执行资产保全。</w:t>
      </w:r>
    </w:p>
    <w:p>
      <w:pPr>
        <w:spacing w:line="312" w:lineRule="auto"/>
        <w:ind w:firstLine="664"/>
        <w:jc w:val="both"/>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合作银行需要提起诉讼时，应事先书面告知区金融中心和区经科局，在企业有财产可以执行的情况下，有权立即向法院申请保全其财产，受托管理机构对此予以协助。</w:t>
      </w:r>
    </w:p>
    <w:p>
      <w:pPr>
        <w:spacing w:line="312" w:lineRule="auto"/>
        <w:ind w:firstLine="664"/>
        <w:jc w:val="both"/>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追索回的资金或企业恢复还款收回的资金在抵扣追索费用后，先按担保金分摊比例偿还合作银行贷款本金及担保金补偿金额，其次偿还合作银行利息</w:t>
      </w:r>
      <w:r>
        <w:rPr>
          <w:rFonts w:hint="eastAsia" w:ascii="Times New Roman" w:hAnsi="Times New Roman" w:eastAsia="仿宋_GB2312" w:cs="Times New Roman"/>
          <w:snapToGrid w:val="0"/>
          <w:color w:val="auto"/>
          <w:spacing w:val="6"/>
          <w:kern w:val="0"/>
          <w:sz w:val="32"/>
          <w:szCs w:val="32"/>
          <w:highlight w:val="none"/>
          <w:lang w:val="en-US" w:eastAsia="zh-CN"/>
        </w:rPr>
        <w:t>以</w:t>
      </w:r>
      <w:r>
        <w:rPr>
          <w:rFonts w:hint="eastAsia" w:ascii="Times New Roman" w:hAnsi="Times New Roman" w:eastAsia="仿宋_GB2312" w:cs="Times New Roman"/>
          <w:snapToGrid w:val="0"/>
          <w:color w:val="auto"/>
          <w:spacing w:val="6"/>
          <w:kern w:val="0"/>
          <w:sz w:val="32"/>
          <w:szCs w:val="32"/>
          <w:highlight w:val="none"/>
        </w:rPr>
        <w:t>及受托管理机构补偿金额</w:t>
      </w:r>
      <w:r>
        <w:rPr>
          <w:rFonts w:hint="eastAsia" w:ascii="Times New Roman" w:hAnsi="Times New Roman" w:eastAsia="仿宋_GB2312" w:cs="Times New Roman"/>
          <w:snapToGrid w:val="0"/>
          <w:color w:val="auto"/>
          <w:spacing w:val="6"/>
          <w:kern w:val="0"/>
          <w:sz w:val="32"/>
          <w:szCs w:val="32"/>
          <w:highlight w:val="none"/>
          <w:lang w:val="en-US" w:eastAsia="zh-CN"/>
        </w:rPr>
        <w:t>按照</w:t>
      </w:r>
      <w:r>
        <w:rPr>
          <w:rFonts w:hint="eastAsia" w:ascii="Times New Roman" w:hAnsi="Times New Roman" w:eastAsia="仿宋_GB2312" w:cs="Times New Roman"/>
          <w:snapToGrid w:val="0"/>
          <w:color w:val="auto"/>
          <w:spacing w:val="6"/>
          <w:kern w:val="0"/>
          <w:sz w:val="32"/>
          <w:szCs w:val="32"/>
          <w:highlight w:val="none"/>
        </w:rPr>
        <w:t>人民银行同期1年期贷款基准利率计算的资金成本，剩余部分补回企业损失。</w:t>
      </w:r>
    </w:p>
    <w:p>
      <w:pPr>
        <w:adjustRightInd w:val="0"/>
        <w:spacing w:line="574" w:lineRule="exact"/>
        <w:ind w:firstLine="664" w:firstLineChars="200"/>
        <w:jc w:val="both"/>
        <w:rPr>
          <w:rFonts w:ascii="Times New Roman" w:hAnsi="Times New Roman" w:eastAsia="仿宋_GB2312" w:cs="Times New Roman"/>
          <w:snapToGrid w:val="0"/>
          <w:color w:val="auto"/>
          <w:spacing w:val="6"/>
          <w:kern w:val="0"/>
          <w:sz w:val="32"/>
          <w:szCs w:val="32"/>
          <w:highlight w:val="none"/>
        </w:rPr>
      </w:pPr>
      <w:r>
        <w:rPr>
          <w:rFonts w:ascii="Times New Roman" w:hAnsi="Times New Roman" w:eastAsia="黑体" w:cs="Times New Roman"/>
          <w:bCs/>
          <w:color w:val="auto"/>
          <w:spacing w:val="6"/>
          <w:sz w:val="32"/>
          <w:szCs w:val="32"/>
          <w:highlight w:val="none"/>
        </w:rPr>
        <w:t>第</w:t>
      </w:r>
      <w:r>
        <w:rPr>
          <w:rFonts w:hint="eastAsia" w:ascii="Times New Roman" w:hAnsi="Times New Roman" w:eastAsia="黑体" w:cs="Times New Roman"/>
          <w:bCs/>
          <w:color w:val="auto"/>
          <w:spacing w:val="6"/>
          <w:sz w:val="32"/>
          <w:szCs w:val="32"/>
          <w:highlight w:val="none"/>
          <w:lang w:val="en-US" w:eastAsia="zh-CN"/>
        </w:rPr>
        <w:t>二十九</w:t>
      </w:r>
      <w:r>
        <w:rPr>
          <w:rFonts w:ascii="Times New Roman" w:hAnsi="Times New Roman" w:eastAsia="黑体" w:cs="Times New Roman"/>
          <w:bCs/>
          <w:color w:val="auto"/>
          <w:spacing w:val="6"/>
          <w:sz w:val="32"/>
          <w:szCs w:val="32"/>
          <w:highlight w:val="none"/>
        </w:rPr>
        <w:t xml:space="preserve">条 </w:t>
      </w:r>
      <w:r>
        <w:rPr>
          <w:rFonts w:hint="eastAsia" w:ascii="Times New Roman" w:hAnsi="Times New Roman" w:eastAsia="仿宋_GB2312" w:cs="Times New Roman"/>
          <w:snapToGrid w:val="0"/>
          <w:color w:val="auto"/>
          <w:spacing w:val="6"/>
          <w:kern w:val="0"/>
          <w:sz w:val="32"/>
          <w:szCs w:val="32"/>
          <w:highlight w:val="none"/>
        </w:rPr>
        <w:t>经法院依法处置贷款抵（质）押物并对企业和担保人强制执行后，企业和担保人均无可再执行财产或法院裁定执行程序终结、终止或中止后，仍无法收回的贷款本息及诉讼费确认为不良贷款的净损失，按以下方式进行处理：</w:t>
      </w:r>
    </w:p>
    <w:p>
      <w:pPr>
        <w:adjustRightInd w:val="0"/>
        <w:spacing w:line="574" w:lineRule="exact"/>
        <w:ind w:firstLine="664" w:firstLineChars="200"/>
        <w:jc w:val="both"/>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（一）对产生净损失的贷款由合作银行出具报告，区经科局报请区管委会审批，审批通过后合作银行不再承担追偿责任。</w:t>
      </w:r>
    </w:p>
    <w:p>
      <w:pPr>
        <w:adjustRightInd w:val="0"/>
        <w:spacing w:line="574" w:lineRule="exact"/>
        <w:ind w:firstLine="664" w:firstLineChars="200"/>
        <w:jc w:val="both"/>
        <w:rPr>
          <w:rFonts w:ascii="Times New Roman" w:hAnsi="Times New Roman" w:eastAsia="仿宋_GB2312" w:cs="Times New Roman"/>
          <w:snapToGrid w:val="0"/>
          <w:color w:val="auto"/>
          <w:spacing w:val="6"/>
          <w:kern w:val="0"/>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（二）以审批时点作为终点，重新计算不良贷款本金、逾期贷款利息及诉讼等实现债权的费用总金额，按第十</w:t>
      </w:r>
      <w:r>
        <w:rPr>
          <w:rFonts w:hint="eastAsia" w:ascii="Times New Roman" w:hAnsi="Times New Roman" w:eastAsia="仿宋_GB2312" w:cs="Times New Roman"/>
          <w:snapToGrid w:val="0"/>
          <w:color w:val="auto"/>
          <w:spacing w:val="6"/>
          <w:kern w:val="0"/>
          <w:sz w:val="32"/>
          <w:szCs w:val="32"/>
          <w:highlight w:val="none"/>
          <w:lang w:val="en-US" w:eastAsia="zh-CN"/>
        </w:rPr>
        <w:t>五</w:t>
      </w:r>
      <w:r>
        <w:rPr>
          <w:rFonts w:hint="eastAsia" w:ascii="Times New Roman" w:hAnsi="Times New Roman" w:eastAsia="仿宋_GB2312" w:cs="Times New Roman"/>
          <w:snapToGrid w:val="0"/>
          <w:color w:val="auto"/>
          <w:spacing w:val="6"/>
          <w:kern w:val="0"/>
          <w:sz w:val="32"/>
          <w:szCs w:val="32"/>
          <w:highlight w:val="none"/>
        </w:rPr>
        <w:t>条的规定由担保金按补偿比例多退少补的原则，由区管委会批复合作银行应核销的项目及金额，核销各自贷款担保金补偿金额损失部分。</w:t>
      </w:r>
    </w:p>
    <w:p>
      <w:pPr>
        <w:adjustRightInd w:val="0"/>
        <w:spacing w:line="574" w:lineRule="exact"/>
        <w:ind w:firstLine="664" w:firstLineChars="200"/>
        <w:jc w:val="both"/>
        <w:rPr>
          <w:rFonts w:ascii="Times New Roman" w:hAnsi="Times New Roman" w:eastAsia="仿宋_GB2312" w:cs="Times New Roman"/>
          <w:snapToGrid w:val="0"/>
          <w:color w:val="auto"/>
          <w:spacing w:val="6"/>
          <w:kern w:val="0"/>
          <w:sz w:val="32"/>
          <w:szCs w:val="32"/>
          <w:highlight w:val="none"/>
        </w:rPr>
      </w:pPr>
      <w:r>
        <w:rPr>
          <w:rFonts w:ascii="Times New Roman" w:hAnsi="Times New Roman" w:eastAsia="黑体" w:cs="Times New Roman"/>
          <w:bCs/>
          <w:color w:val="auto"/>
          <w:spacing w:val="6"/>
          <w:sz w:val="32"/>
          <w:szCs w:val="32"/>
          <w:highlight w:val="none"/>
        </w:rPr>
        <w:t>第</w:t>
      </w:r>
      <w:r>
        <w:rPr>
          <w:rFonts w:hint="eastAsia" w:ascii="Times New Roman" w:hAnsi="Times New Roman" w:eastAsia="黑体" w:cs="Times New Roman"/>
          <w:bCs/>
          <w:color w:val="auto"/>
          <w:spacing w:val="6"/>
          <w:sz w:val="32"/>
          <w:szCs w:val="32"/>
          <w:highlight w:val="none"/>
        </w:rPr>
        <w:t>三十</w:t>
      </w:r>
      <w:r>
        <w:rPr>
          <w:rFonts w:ascii="Times New Roman" w:hAnsi="Times New Roman" w:eastAsia="黑体" w:cs="Times New Roman"/>
          <w:bCs/>
          <w:color w:val="auto"/>
          <w:spacing w:val="6"/>
          <w:sz w:val="32"/>
          <w:szCs w:val="32"/>
          <w:highlight w:val="none"/>
        </w:rPr>
        <w:t xml:space="preserve">条 </w:t>
      </w:r>
      <w:r>
        <w:rPr>
          <w:rFonts w:hint="eastAsia" w:ascii="Times New Roman" w:hAnsi="Times New Roman" w:eastAsia="仿宋_GB2312" w:cs="Times New Roman"/>
          <w:snapToGrid w:val="0"/>
          <w:color w:val="auto"/>
          <w:spacing w:val="6"/>
          <w:kern w:val="0"/>
          <w:sz w:val="32"/>
          <w:szCs w:val="32"/>
          <w:highlight w:val="none"/>
        </w:rPr>
        <w:t>合作银行须按季度向区金融中心和区经科局报送不良贷款项目跟踪情况表。</w:t>
      </w:r>
    </w:p>
    <w:p>
      <w:pPr>
        <w:widowControl/>
        <w:spacing w:line="574" w:lineRule="exact"/>
        <w:ind w:right="23" w:rightChars="11" w:firstLine="640" w:firstLineChars="200"/>
        <w:jc w:val="both"/>
        <w:rPr>
          <w:rFonts w:hint="eastAsia" w:ascii="黑体" w:hAnsi="黑体" w:eastAsia="黑体" w:cs="黑体"/>
          <w:color w:val="auto"/>
          <w:kern w:val="0"/>
          <w:sz w:val="32"/>
          <w:szCs w:val="28"/>
          <w:highlight w:val="none"/>
        </w:rPr>
      </w:pPr>
      <w:r>
        <w:rPr>
          <w:rFonts w:hint="eastAsia" w:ascii="黑体" w:hAnsi="黑体" w:eastAsia="黑体" w:cs="黑体"/>
          <w:color w:val="auto"/>
          <w:kern w:val="0"/>
          <w:sz w:val="32"/>
          <w:szCs w:val="28"/>
          <w:highlight w:val="none"/>
        </w:rPr>
        <w:t>第三十</w:t>
      </w:r>
      <w:r>
        <w:rPr>
          <w:rFonts w:hint="eastAsia" w:ascii="黑体" w:hAnsi="黑体" w:eastAsia="黑体" w:cs="黑体"/>
          <w:color w:val="auto"/>
          <w:kern w:val="0"/>
          <w:sz w:val="32"/>
          <w:szCs w:val="28"/>
          <w:highlight w:val="none"/>
          <w:lang w:val="en-US" w:eastAsia="zh-CN"/>
        </w:rPr>
        <w:t>一</w:t>
      </w:r>
      <w:r>
        <w:rPr>
          <w:rFonts w:hint="eastAsia" w:ascii="黑体" w:hAnsi="黑体" w:eastAsia="黑体" w:cs="黑体"/>
          <w:color w:val="auto"/>
          <w:kern w:val="0"/>
          <w:sz w:val="32"/>
          <w:szCs w:val="28"/>
          <w:highlight w:val="none"/>
        </w:rPr>
        <w:t xml:space="preserve">条 </w:t>
      </w:r>
      <w:r>
        <w:rPr>
          <w:rFonts w:hint="eastAsia" w:ascii="仿宋_GB2312" w:hAnsi="仿宋_GB2312" w:eastAsia="仿宋_GB2312" w:cs="仿宋_GB2312"/>
          <w:color w:val="auto"/>
          <w:kern w:val="0"/>
          <w:sz w:val="32"/>
          <w:szCs w:val="28"/>
          <w:highlight w:val="none"/>
        </w:rPr>
        <w:t>当一家合</w:t>
      </w:r>
      <w:r>
        <w:rPr>
          <w:rFonts w:ascii="Times New Roman" w:hAnsi="Times New Roman" w:eastAsia="仿宋_GB2312" w:cs="Times New Roman"/>
          <w:color w:val="auto"/>
          <w:kern w:val="0"/>
          <w:sz w:val="32"/>
          <w:szCs w:val="28"/>
          <w:highlight w:val="none"/>
        </w:rPr>
        <w:t>作银行</w:t>
      </w:r>
      <w:r>
        <w:rPr>
          <w:rFonts w:hint="eastAsia" w:ascii="Times New Roman" w:hAnsi="Times New Roman" w:eastAsia="仿宋_GB2312" w:cs="Times New Roman"/>
          <w:color w:val="auto"/>
          <w:kern w:val="0"/>
          <w:sz w:val="32"/>
          <w:szCs w:val="28"/>
          <w:highlight w:val="none"/>
        </w:rPr>
        <w:t>信贷业务</w:t>
      </w:r>
      <w:r>
        <w:rPr>
          <w:rFonts w:ascii="Times New Roman" w:hAnsi="Times New Roman" w:eastAsia="仿宋_GB2312" w:cs="Times New Roman"/>
          <w:color w:val="auto"/>
          <w:kern w:val="0"/>
          <w:sz w:val="32"/>
          <w:szCs w:val="28"/>
          <w:highlight w:val="none"/>
        </w:rPr>
        <w:t>的逾期贷款余额超过该银行</w:t>
      </w:r>
      <w:r>
        <w:rPr>
          <w:rFonts w:hint="eastAsia" w:ascii="Times New Roman" w:hAnsi="Times New Roman" w:eastAsia="仿宋_GB2312" w:cs="Times New Roman"/>
          <w:color w:val="auto"/>
          <w:kern w:val="0"/>
          <w:sz w:val="32"/>
          <w:szCs w:val="28"/>
          <w:highlight w:val="none"/>
        </w:rPr>
        <w:t>信贷</w:t>
      </w:r>
      <w:r>
        <w:rPr>
          <w:rFonts w:ascii="Times New Roman" w:hAnsi="Times New Roman" w:eastAsia="仿宋_GB2312" w:cs="Times New Roman"/>
          <w:color w:val="auto"/>
          <w:kern w:val="0"/>
          <w:sz w:val="32"/>
          <w:szCs w:val="28"/>
          <w:highlight w:val="none"/>
        </w:rPr>
        <w:t>余额的3%时，</w:t>
      </w:r>
      <w:r>
        <w:rPr>
          <w:rFonts w:ascii="Times New Roman" w:hAnsi="Times New Roman" w:eastAsia="仿宋_GB2312" w:cs="Times New Roman"/>
          <w:snapToGrid w:val="0"/>
          <w:color w:val="auto"/>
          <w:spacing w:val="6"/>
          <w:kern w:val="0"/>
          <w:sz w:val="32"/>
          <w:szCs w:val="32"/>
          <w:highlight w:val="none"/>
        </w:rPr>
        <w:t>区金融中心有权暂停该银行</w:t>
      </w:r>
      <w:r>
        <w:rPr>
          <w:rFonts w:hint="eastAsia" w:ascii="Times New Roman" w:hAnsi="Times New Roman" w:eastAsia="仿宋_GB2312" w:cs="Times New Roman"/>
          <w:snapToGrid w:val="0"/>
          <w:color w:val="auto"/>
          <w:spacing w:val="6"/>
          <w:kern w:val="0"/>
          <w:sz w:val="32"/>
          <w:szCs w:val="32"/>
          <w:highlight w:val="none"/>
        </w:rPr>
        <w:t>信贷业务；逾期贷款率</w:t>
      </w:r>
      <w:r>
        <w:rPr>
          <w:rFonts w:hint="eastAsia" w:ascii="Times New Roman" w:hAnsi="Times New Roman" w:eastAsia="仿宋_GB2312" w:cs="Times New Roman"/>
          <w:snapToGrid w:val="0"/>
          <w:color w:val="auto"/>
          <w:spacing w:val="6"/>
          <w:kern w:val="0"/>
          <w:sz w:val="32"/>
          <w:szCs w:val="32"/>
          <w:highlight w:val="none"/>
          <w:lang w:val="en-US" w:eastAsia="zh-CN"/>
        </w:rPr>
        <w:t>降至</w:t>
      </w:r>
      <w:r>
        <w:rPr>
          <w:rFonts w:hint="eastAsia" w:ascii="Times New Roman" w:hAnsi="Times New Roman" w:eastAsia="仿宋_GB2312" w:cs="Times New Roman"/>
          <w:snapToGrid w:val="0"/>
          <w:color w:val="auto"/>
          <w:spacing w:val="6"/>
          <w:kern w:val="0"/>
          <w:sz w:val="32"/>
          <w:szCs w:val="32"/>
          <w:highlight w:val="none"/>
        </w:rPr>
        <w:t>3%（含3%）</w:t>
      </w:r>
      <w:r>
        <w:rPr>
          <w:rFonts w:hint="eastAsia" w:ascii="Times New Roman" w:hAnsi="Times New Roman" w:eastAsia="仿宋_GB2312" w:cs="Times New Roman"/>
          <w:snapToGrid w:val="0"/>
          <w:color w:val="auto"/>
          <w:spacing w:val="6"/>
          <w:kern w:val="0"/>
          <w:sz w:val="32"/>
          <w:szCs w:val="32"/>
          <w:highlight w:val="none"/>
          <w:lang w:val="en-US" w:eastAsia="zh-CN"/>
        </w:rPr>
        <w:t>以下</w:t>
      </w:r>
      <w:r>
        <w:rPr>
          <w:rFonts w:hint="eastAsia" w:ascii="Times New Roman" w:hAnsi="Times New Roman" w:eastAsia="仿宋_GB2312" w:cs="Times New Roman"/>
          <w:snapToGrid w:val="0"/>
          <w:color w:val="auto"/>
          <w:spacing w:val="6"/>
          <w:kern w:val="0"/>
          <w:sz w:val="32"/>
          <w:szCs w:val="32"/>
          <w:highlight w:val="none"/>
        </w:rPr>
        <w:t>后，可恢复信贷业务。</w:t>
      </w:r>
    </w:p>
    <w:p>
      <w:pPr>
        <w:widowControl/>
        <w:spacing w:line="574" w:lineRule="exact"/>
        <w:ind w:right="23" w:rightChars="11" w:firstLine="640" w:firstLineChars="200"/>
        <w:jc w:val="both"/>
        <w:rPr>
          <w:rFonts w:hint="eastAsia" w:ascii="黑体" w:hAnsi="黑体" w:eastAsia="黑体" w:cs="黑体"/>
          <w:color w:val="auto"/>
          <w:kern w:val="0"/>
          <w:sz w:val="32"/>
          <w:szCs w:val="28"/>
          <w:highlight w:val="none"/>
        </w:rPr>
      </w:pPr>
    </w:p>
    <w:p>
      <w:pPr>
        <w:widowControl/>
        <w:spacing w:line="574" w:lineRule="exact"/>
        <w:ind w:right="23" w:rightChars="11" w:firstLine="640" w:firstLineChars="200"/>
        <w:jc w:val="center"/>
        <w:rPr>
          <w:rFonts w:hint="eastAsia" w:ascii="黑体" w:hAnsi="黑体" w:eastAsia="黑体" w:cs="黑体"/>
          <w:color w:val="auto"/>
          <w:kern w:val="0"/>
          <w:sz w:val="32"/>
          <w:szCs w:val="28"/>
          <w:highlight w:val="none"/>
          <w:lang w:val="en-US" w:eastAsia="zh-CN"/>
        </w:rPr>
      </w:pPr>
      <w:r>
        <w:rPr>
          <w:rFonts w:hint="eastAsia" w:ascii="黑体" w:hAnsi="黑体" w:eastAsia="黑体" w:cs="黑体"/>
          <w:color w:val="auto"/>
          <w:kern w:val="0"/>
          <w:sz w:val="32"/>
          <w:szCs w:val="28"/>
          <w:highlight w:val="none"/>
        </w:rPr>
        <w:t xml:space="preserve">第七章 </w:t>
      </w:r>
      <w:r>
        <w:rPr>
          <w:rFonts w:hint="eastAsia" w:ascii="黑体" w:hAnsi="黑体" w:eastAsia="黑体" w:cs="黑体"/>
          <w:color w:val="auto"/>
          <w:kern w:val="0"/>
          <w:sz w:val="32"/>
          <w:szCs w:val="28"/>
          <w:highlight w:val="none"/>
          <w:lang w:val="en-US" w:eastAsia="zh-CN"/>
        </w:rPr>
        <w:t>监督管理</w:t>
      </w:r>
    </w:p>
    <w:p>
      <w:pPr>
        <w:widowControl/>
        <w:spacing w:line="574" w:lineRule="exact"/>
        <w:ind w:right="23" w:rightChars="11" w:firstLine="640" w:firstLineChars="200"/>
        <w:jc w:val="both"/>
        <w:rPr>
          <w:rFonts w:hint="eastAsia" w:ascii="Times New Roman" w:hAnsi="Times New Roman" w:eastAsia="仿宋_GB2312" w:cs="Times New Roman"/>
          <w:color w:val="auto"/>
          <w:spacing w:val="6"/>
          <w:sz w:val="32"/>
          <w:szCs w:val="32"/>
          <w:highlight w:val="none"/>
          <w:lang w:val="en-US" w:eastAsia="zh-CN"/>
        </w:rPr>
      </w:pPr>
      <w:r>
        <w:rPr>
          <w:rFonts w:hint="eastAsia" w:ascii="黑体" w:hAnsi="黑体" w:eastAsia="黑体" w:cs="黑体"/>
          <w:color w:val="auto"/>
          <w:kern w:val="0"/>
          <w:sz w:val="32"/>
          <w:szCs w:val="28"/>
          <w:highlight w:val="none"/>
        </w:rPr>
        <w:t>第三十</w:t>
      </w:r>
      <w:r>
        <w:rPr>
          <w:rFonts w:hint="eastAsia" w:ascii="黑体" w:hAnsi="黑体" w:eastAsia="黑体" w:cs="黑体"/>
          <w:color w:val="auto"/>
          <w:kern w:val="0"/>
          <w:sz w:val="32"/>
          <w:szCs w:val="28"/>
          <w:highlight w:val="none"/>
          <w:lang w:val="en-US" w:eastAsia="zh-CN"/>
        </w:rPr>
        <w:t>二</w:t>
      </w:r>
      <w:r>
        <w:rPr>
          <w:rFonts w:hint="eastAsia" w:ascii="黑体" w:hAnsi="黑体" w:eastAsia="黑体" w:cs="黑体"/>
          <w:color w:val="auto"/>
          <w:kern w:val="0"/>
          <w:sz w:val="32"/>
          <w:szCs w:val="28"/>
          <w:highlight w:val="none"/>
        </w:rPr>
        <w:t>条</w:t>
      </w:r>
      <w:r>
        <w:rPr>
          <w:rFonts w:hint="eastAsia" w:ascii="仿宋_GB2312" w:hAnsi="仿宋_GB2312" w:eastAsia="仿宋_GB2312" w:cs="仿宋_GB2312"/>
          <w:color w:val="auto"/>
          <w:kern w:val="0"/>
          <w:sz w:val="32"/>
          <w:szCs w:val="28"/>
          <w:highlight w:val="none"/>
        </w:rPr>
        <w:t xml:space="preserve"> </w:t>
      </w:r>
      <w:r>
        <w:rPr>
          <w:rFonts w:hint="eastAsia" w:ascii="Times New Roman" w:hAnsi="Times New Roman" w:eastAsia="仿宋_GB2312" w:cs="Times New Roman"/>
          <w:color w:val="auto"/>
          <w:spacing w:val="6"/>
          <w:sz w:val="32"/>
          <w:szCs w:val="32"/>
          <w:highlight w:val="none"/>
          <w:lang w:val="en-US" w:eastAsia="zh-CN"/>
        </w:rPr>
        <w:t>对有弄虚作假、挪用资金池担保金等行为的，除按《财政违法行为处罚处分条例</w:t>
      </w:r>
      <w:bookmarkStart w:id="0" w:name="_GoBack"/>
      <w:bookmarkEnd w:id="0"/>
      <w:r>
        <w:rPr>
          <w:rFonts w:hint="eastAsia" w:ascii="Times New Roman" w:hAnsi="Times New Roman" w:eastAsia="仿宋_GB2312" w:cs="Times New Roman"/>
          <w:color w:val="auto"/>
          <w:spacing w:val="6"/>
          <w:sz w:val="32"/>
          <w:szCs w:val="32"/>
          <w:highlight w:val="none"/>
          <w:lang w:val="en-US" w:eastAsia="zh-CN"/>
        </w:rPr>
        <w:t>》对有关款项予以追回外，一并追究责任单位和责任人员的法纪责任。</w:t>
      </w:r>
    </w:p>
    <w:p>
      <w:pPr>
        <w:widowControl/>
        <w:spacing w:line="574" w:lineRule="exact"/>
        <w:ind w:right="23" w:rightChars="11" w:firstLine="664" w:firstLineChars="200"/>
        <w:jc w:val="both"/>
        <w:rPr>
          <w:rFonts w:hint="eastAsia" w:ascii="Times New Roman" w:hAnsi="Times New Roman" w:eastAsia="仿宋_GB2312" w:cs="Times New Roman"/>
          <w:color w:val="auto"/>
          <w:spacing w:val="6"/>
          <w:sz w:val="32"/>
          <w:szCs w:val="32"/>
          <w:highlight w:val="none"/>
          <w:lang w:val="en-US" w:eastAsia="zh-CN"/>
        </w:rPr>
      </w:pPr>
      <w:r>
        <w:rPr>
          <w:rFonts w:ascii="Times New Roman" w:hAnsi="Times New Roman" w:eastAsia="黑体" w:cs="Times New Roman"/>
          <w:bCs/>
          <w:color w:val="auto"/>
          <w:spacing w:val="6"/>
          <w:sz w:val="32"/>
          <w:szCs w:val="32"/>
          <w:highlight w:val="none"/>
        </w:rPr>
        <w:t>第</w:t>
      </w:r>
      <w:r>
        <w:rPr>
          <w:rFonts w:hint="eastAsia" w:ascii="Times New Roman" w:hAnsi="Times New Roman" w:eastAsia="黑体" w:cs="Times New Roman"/>
          <w:bCs/>
          <w:color w:val="auto"/>
          <w:spacing w:val="6"/>
          <w:sz w:val="32"/>
          <w:szCs w:val="32"/>
          <w:highlight w:val="none"/>
        </w:rPr>
        <w:t>三十</w:t>
      </w:r>
      <w:r>
        <w:rPr>
          <w:rFonts w:hint="eastAsia" w:ascii="Times New Roman" w:hAnsi="Times New Roman" w:eastAsia="黑体" w:cs="Times New Roman"/>
          <w:bCs/>
          <w:color w:val="auto"/>
          <w:spacing w:val="6"/>
          <w:sz w:val="32"/>
          <w:szCs w:val="32"/>
          <w:highlight w:val="none"/>
          <w:lang w:val="en-US" w:eastAsia="zh-CN"/>
        </w:rPr>
        <w:t>三</w:t>
      </w:r>
      <w:r>
        <w:rPr>
          <w:rFonts w:ascii="Times New Roman" w:hAnsi="Times New Roman" w:eastAsia="黑体" w:cs="Times New Roman"/>
          <w:bCs/>
          <w:color w:val="auto"/>
          <w:spacing w:val="6"/>
          <w:sz w:val="32"/>
          <w:szCs w:val="32"/>
          <w:highlight w:val="none"/>
        </w:rPr>
        <w:t>条</w:t>
      </w:r>
      <w:r>
        <w:rPr>
          <w:rFonts w:hint="eastAsia" w:ascii="仿宋_GB2312" w:hAnsi="仿宋_GB2312" w:eastAsia="仿宋_GB2312" w:cs="仿宋_GB2312"/>
          <w:color w:val="auto"/>
          <w:kern w:val="0"/>
          <w:sz w:val="32"/>
          <w:szCs w:val="28"/>
          <w:highlight w:val="none"/>
          <w:lang w:val="en-US" w:eastAsia="zh-CN"/>
        </w:rPr>
        <w:t xml:space="preserve">  </w:t>
      </w:r>
      <w:r>
        <w:rPr>
          <w:rFonts w:hint="eastAsia" w:ascii="Times New Roman" w:hAnsi="Times New Roman" w:eastAsia="仿宋_GB2312" w:cs="Times New Roman"/>
          <w:color w:val="auto"/>
          <w:spacing w:val="6"/>
          <w:sz w:val="32"/>
          <w:szCs w:val="32"/>
          <w:highlight w:val="none"/>
          <w:lang w:val="en-US" w:eastAsia="zh-CN"/>
        </w:rPr>
        <w:t>企业须按照申报通知申请入库、贷款和贴息，若没有按时申报、提供资料不完整或弄虚作假等没有遵守相关规定的，取消其申报资格，并不得享受风险补偿和贴息。</w:t>
      </w:r>
    </w:p>
    <w:p>
      <w:pPr>
        <w:spacing w:line="312" w:lineRule="auto"/>
        <w:ind w:firstLine="664"/>
        <w:jc w:val="both"/>
        <w:rPr>
          <w:rFonts w:hint="eastAsia" w:ascii="Times New Roman" w:hAnsi="Times New Roman" w:eastAsia="仿宋_GB2312" w:cs="Times New Roman"/>
          <w:color w:val="auto"/>
          <w:spacing w:val="6"/>
          <w:kern w:val="0"/>
          <w:sz w:val="32"/>
          <w:szCs w:val="32"/>
          <w:highlight w:val="none"/>
          <w:lang w:eastAsia="zh-CN"/>
        </w:rPr>
      </w:pPr>
      <w:r>
        <w:rPr>
          <w:rFonts w:ascii="Times New Roman" w:hAnsi="Times New Roman" w:eastAsia="仿宋_GB2312" w:cs="Times New Roman"/>
          <w:color w:val="auto"/>
          <w:spacing w:val="6"/>
          <w:sz w:val="32"/>
          <w:szCs w:val="32"/>
          <w:highlight w:val="none"/>
        </w:rPr>
        <w:t xml:space="preserve"> </w:t>
      </w:r>
      <w:r>
        <w:rPr>
          <w:rFonts w:hint="eastAsia" w:ascii="Times New Roman" w:hAnsi="Times New Roman" w:eastAsia="仿宋_GB2312" w:cs="Times New Roman"/>
          <w:color w:val="auto"/>
          <w:spacing w:val="6"/>
          <w:kern w:val="0"/>
          <w:sz w:val="32"/>
          <w:szCs w:val="32"/>
          <w:highlight w:val="none"/>
        </w:rPr>
        <w:t>企</w:t>
      </w:r>
      <w:r>
        <w:rPr>
          <w:rFonts w:ascii="Times New Roman" w:hAnsi="Times New Roman" w:eastAsia="仿宋_GB2312" w:cs="Times New Roman"/>
          <w:color w:val="auto"/>
          <w:spacing w:val="6"/>
          <w:kern w:val="0"/>
          <w:sz w:val="32"/>
          <w:szCs w:val="32"/>
          <w:highlight w:val="none"/>
        </w:rPr>
        <w:t>业</w:t>
      </w:r>
      <w:r>
        <w:rPr>
          <w:rFonts w:hint="eastAsia" w:ascii="Times New Roman" w:hAnsi="Times New Roman" w:eastAsia="仿宋_GB2312" w:cs="Times New Roman"/>
          <w:color w:val="auto"/>
          <w:spacing w:val="6"/>
          <w:kern w:val="0"/>
          <w:sz w:val="32"/>
          <w:szCs w:val="32"/>
          <w:highlight w:val="none"/>
          <w:lang w:val="en-US" w:eastAsia="zh-CN"/>
        </w:rPr>
        <w:t>如</w:t>
      </w:r>
      <w:r>
        <w:rPr>
          <w:rFonts w:hint="eastAsia" w:ascii="Times New Roman" w:hAnsi="Times New Roman" w:eastAsia="仿宋_GB2312" w:cs="Times New Roman"/>
          <w:color w:val="auto"/>
          <w:spacing w:val="6"/>
          <w:kern w:val="0"/>
          <w:sz w:val="32"/>
          <w:szCs w:val="32"/>
          <w:highlight w:val="none"/>
        </w:rPr>
        <w:t>有违反</w:t>
      </w:r>
      <w:r>
        <w:rPr>
          <w:rFonts w:hint="eastAsia" w:ascii="Times New Roman" w:hAnsi="Times New Roman" w:eastAsia="仿宋_GB2312" w:cs="Times New Roman"/>
          <w:color w:val="auto"/>
          <w:spacing w:val="6"/>
          <w:kern w:val="0"/>
          <w:sz w:val="32"/>
          <w:szCs w:val="32"/>
          <w:highlight w:val="none"/>
          <w:lang w:val="en-US" w:eastAsia="zh-CN"/>
        </w:rPr>
        <w:t>相关</w:t>
      </w:r>
      <w:r>
        <w:rPr>
          <w:rFonts w:hint="eastAsia" w:ascii="Times New Roman" w:hAnsi="Times New Roman" w:eastAsia="仿宋_GB2312" w:cs="Times New Roman"/>
          <w:color w:val="auto"/>
          <w:spacing w:val="6"/>
          <w:kern w:val="0"/>
          <w:sz w:val="32"/>
          <w:szCs w:val="32"/>
          <w:highlight w:val="none"/>
        </w:rPr>
        <w:t>法律法规或</w:t>
      </w:r>
      <w:r>
        <w:rPr>
          <w:rFonts w:ascii="Times New Roman" w:hAnsi="Times New Roman" w:eastAsia="仿宋_GB2312" w:cs="Times New Roman"/>
          <w:color w:val="auto"/>
          <w:spacing w:val="6"/>
          <w:kern w:val="0"/>
          <w:sz w:val="32"/>
          <w:szCs w:val="32"/>
          <w:highlight w:val="none"/>
        </w:rPr>
        <w:t>弄虚作假，骗取、套取</w:t>
      </w:r>
      <w:r>
        <w:rPr>
          <w:rFonts w:hint="eastAsia" w:ascii="Times New Roman" w:hAnsi="Times New Roman" w:eastAsia="仿宋_GB2312" w:cs="Times New Roman"/>
          <w:color w:val="auto"/>
          <w:spacing w:val="6"/>
          <w:kern w:val="0"/>
          <w:sz w:val="32"/>
          <w:szCs w:val="32"/>
          <w:highlight w:val="none"/>
        </w:rPr>
        <w:t>政府扶持资金的行为，</w:t>
      </w:r>
      <w:r>
        <w:rPr>
          <w:rFonts w:ascii="Times New Roman" w:hAnsi="Times New Roman" w:eastAsia="仿宋_GB2312" w:cs="Times New Roman"/>
          <w:color w:val="auto"/>
          <w:spacing w:val="6"/>
          <w:kern w:val="0"/>
          <w:sz w:val="32"/>
          <w:szCs w:val="32"/>
          <w:highlight w:val="none"/>
        </w:rPr>
        <w:t>除收回已拨付资金并取消其申报资格外，还将依照相关规定进行处理、处罚</w:t>
      </w:r>
      <w:r>
        <w:rPr>
          <w:rFonts w:hint="eastAsia" w:ascii="Times New Roman" w:hAnsi="Times New Roman" w:eastAsia="仿宋_GB2312" w:cs="Times New Roman"/>
          <w:color w:val="auto"/>
          <w:spacing w:val="6"/>
          <w:kern w:val="0"/>
          <w:sz w:val="32"/>
          <w:szCs w:val="32"/>
          <w:highlight w:val="none"/>
          <w:lang w:eastAsia="zh-CN"/>
        </w:rPr>
        <w:t>。</w:t>
      </w:r>
    </w:p>
    <w:p>
      <w:pPr>
        <w:spacing w:line="312" w:lineRule="auto"/>
        <w:ind w:firstLine="664"/>
        <w:jc w:val="both"/>
        <w:rPr>
          <w:rFonts w:hint="eastAsia" w:ascii="Times New Roman" w:hAnsi="Times New Roman" w:eastAsia="仿宋_GB2312" w:cs="Times New Roman"/>
          <w:color w:val="auto"/>
          <w:spacing w:val="6"/>
          <w:kern w:val="0"/>
          <w:sz w:val="32"/>
          <w:szCs w:val="32"/>
          <w:highlight w:val="none"/>
          <w:lang w:val="en-US" w:eastAsia="zh-CN"/>
        </w:rPr>
      </w:pPr>
      <w:r>
        <w:rPr>
          <w:rFonts w:hint="eastAsia" w:ascii="Times New Roman" w:hAnsi="Times New Roman" w:eastAsia="黑体" w:cs="Times New Roman"/>
          <w:bCs/>
          <w:color w:val="auto"/>
          <w:spacing w:val="6"/>
          <w:sz w:val="32"/>
          <w:szCs w:val="32"/>
          <w:highlight w:val="none"/>
          <w:lang w:val="en-US" w:eastAsia="zh-CN"/>
        </w:rPr>
        <w:t>第三十四条</w:t>
      </w:r>
      <w:r>
        <w:rPr>
          <w:rFonts w:hint="eastAsia" w:ascii="Times New Roman" w:hAnsi="Times New Roman" w:eastAsia="仿宋_GB2312" w:cs="Times New Roman"/>
          <w:color w:val="auto"/>
          <w:spacing w:val="6"/>
          <w:kern w:val="0"/>
          <w:sz w:val="32"/>
          <w:szCs w:val="32"/>
          <w:highlight w:val="none"/>
          <w:lang w:val="en-US" w:eastAsia="zh-CN"/>
        </w:rPr>
        <w:t xml:space="preserve"> 对于恶意逃避债务导致风险补偿金和银行贷款损失的贷款企业，依法追究法律责任。</w:t>
      </w:r>
    </w:p>
    <w:p>
      <w:pPr>
        <w:spacing w:line="312" w:lineRule="auto"/>
        <w:ind w:firstLine="664"/>
        <w:jc w:val="both"/>
        <w:rPr>
          <w:rFonts w:hint="eastAsia" w:ascii="Times New Roman" w:hAnsi="Times New Roman" w:eastAsia="仿宋_GB2312" w:cs="Times New Roman"/>
          <w:color w:val="auto"/>
          <w:spacing w:val="6"/>
          <w:kern w:val="0"/>
          <w:sz w:val="32"/>
          <w:szCs w:val="32"/>
          <w:highlight w:val="none"/>
          <w:lang w:eastAsia="zh-CN"/>
        </w:rPr>
      </w:pPr>
    </w:p>
    <w:p>
      <w:pPr>
        <w:spacing w:line="312" w:lineRule="auto"/>
        <w:jc w:val="center"/>
        <w:rPr>
          <w:rFonts w:ascii="Times New Roman" w:hAnsi="Times New Roman" w:eastAsia="仿宋_GB2312" w:cs="Times New Roman"/>
          <w:color w:val="auto"/>
          <w:spacing w:val="6"/>
          <w:sz w:val="32"/>
          <w:szCs w:val="32"/>
          <w:highlight w:val="none"/>
        </w:rPr>
      </w:pPr>
      <w:r>
        <w:rPr>
          <w:rFonts w:ascii="Times New Roman" w:hAnsi="Times New Roman" w:eastAsia="黑体" w:cs="Times New Roman"/>
          <w:color w:val="auto"/>
          <w:spacing w:val="6"/>
          <w:sz w:val="32"/>
          <w:szCs w:val="32"/>
          <w:highlight w:val="none"/>
        </w:rPr>
        <w:t>第</w:t>
      </w:r>
      <w:r>
        <w:rPr>
          <w:rFonts w:hint="eastAsia" w:ascii="Times New Roman" w:hAnsi="Times New Roman" w:eastAsia="黑体" w:cs="Times New Roman"/>
          <w:color w:val="auto"/>
          <w:spacing w:val="6"/>
          <w:sz w:val="32"/>
          <w:szCs w:val="32"/>
          <w:highlight w:val="none"/>
          <w:lang w:val="en-US" w:eastAsia="zh-CN"/>
        </w:rPr>
        <w:t>八</w:t>
      </w:r>
      <w:r>
        <w:rPr>
          <w:rFonts w:ascii="Times New Roman" w:hAnsi="Times New Roman" w:eastAsia="黑体" w:cs="Times New Roman"/>
          <w:color w:val="auto"/>
          <w:spacing w:val="6"/>
          <w:sz w:val="32"/>
          <w:szCs w:val="32"/>
          <w:highlight w:val="none"/>
        </w:rPr>
        <w:t>章 附则</w:t>
      </w:r>
    </w:p>
    <w:p>
      <w:pPr>
        <w:spacing w:line="312" w:lineRule="auto"/>
        <w:ind w:firstLine="664"/>
        <w:jc w:val="both"/>
        <w:rPr>
          <w:rFonts w:ascii="Times New Roman" w:hAnsi="Times New Roman" w:eastAsia="仿宋_GB2312" w:cs="Times New Roman"/>
          <w:color w:val="auto"/>
          <w:spacing w:val="6"/>
          <w:sz w:val="32"/>
          <w:szCs w:val="32"/>
          <w:highlight w:val="none"/>
        </w:rPr>
      </w:pPr>
      <w:r>
        <w:rPr>
          <w:rFonts w:ascii="Times New Roman" w:hAnsi="Times New Roman" w:eastAsia="黑体" w:cs="Times New Roman"/>
          <w:bCs/>
          <w:color w:val="auto"/>
          <w:spacing w:val="6"/>
          <w:sz w:val="32"/>
          <w:szCs w:val="32"/>
          <w:highlight w:val="none"/>
        </w:rPr>
        <w:t>第</w:t>
      </w:r>
      <w:r>
        <w:rPr>
          <w:rFonts w:hint="eastAsia" w:ascii="Times New Roman" w:hAnsi="Times New Roman" w:eastAsia="黑体" w:cs="Times New Roman"/>
          <w:bCs/>
          <w:color w:val="auto"/>
          <w:spacing w:val="6"/>
          <w:sz w:val="32"/>
          <w:szCs w:val="32"/>
          <w:highlight w:val="none"/>
        </w:rPr>
        <w:t>三十</w:t>
      </w:r>
      <w:r>
        <w:rPr>
          <w:rFonts w:hint="eastAsia" w:ascii="Times New Roman" w:hAnsi="Times New Roman" w:eastAsia="黑体" w:cs="Times New Roman"/>
          <w:bCs/>
          <w:color w:val="auto"/>
          <w:spacing w:val="6"/>
          <w:sz w:val="32"/>
          <w:szCs w:val="32"/>
          <w:highlight w:val="none"/>
          <w:lang w:val="en-US" w:eastAsia="zh-CN"/>
        </w:rPr>
        <w:t>五</w:t>
      </w:r>
      <w:r>
        <w:rPr>
          <w:rFonts w:ascii="Times New Roman" w:hAnsi="Times New Roman" w:eastAsia="黑体" w:cs="Times New Roman"/>
          <w:bCs/>
          <w:color w:val="auto"/>
          <w:spacing w:val="6"/>
          <w:sz w:val="32"/>
          <w:szCs w:val="32"/>
          <w:highlight w:val="none"/>
        </w:rPr>
        <w:t>条</w:t>
      </w:r>
      <w:r>
        <w:rPr>
          <w:rFonts w:ascii="Times New Roman" w:hAnsi="Times New Roman" w:eastAsia="仿宋_GB2312" w:cs="Times New Roman"/>
          <w:color w:val="auto"/>
          <w:spacing w:val="6"/>
          <w:sz w:val="32"/>
          <w:szCs w:val="32"/>
          <w:highlight w:val="none"/>
        </w:rPr>
        <w:t xml:space="preserve"> </w:t>
      </w:r>
      <w:r>
        <w:rPr>
          <w:rFonts w:hint="eastAsia" w:ascii="Times New Roman" w:hAnsi="Times New Roman" w:eastAsia="仿宋_GB2312" w:cs="Times New Roman"/>
          <w:color w:val="auto"/>
          <w:spacing w:val="6"/>
          <w:sz w:val="32"/>
          <w:szCs w:val="32"/>
          <w:highlight w:val="none"/>
        </w:rPr>
        <w:t>本操作指引</w:t>
      </w:r>
      <w:r>
        <w:rPr>
          <w:rFonts w:ascii="Times New Roman" w:hAnsi="Times New Roman" w:eastAsia="仿宋_GB2312" w:cs="Times New Roman"/>
          <w:color w:val="auto"/>
          <w:spacing w:val="6"/>
          <w:sz w:val="32"/>
          <w:szCs w:val="32"/>
          <w:highlight w:val="none"/>
        </w:rPr>
        <w:t>由区经科局负责解释。</w:t>
      </w:r>
    </w:p>
    <w:p>
      <w:pPr>
        <w:spacing w:line="312" w:lineRule="auto"/>
        <w:ind w:firstLine="664"/>
        <w:jc w:val="both"/>
        <w:rPr>
          <w:rFonts w:ascii="Times New Roman" w:hAnsi="Times New Roman" w:eastAsia="仿宋_GB2312" w:cs="Times New Roman"/>
          <w:color w:val="auto"/>
          <w:spacing w:val="6"/>
          <w:sz w:val="32"/>
          <w:szCs w:val="32"/>
          <w:highlight w:val="none"/>
        </w:rPr>
      </w:pPr>
      <w:r>
        <w:rPr>
          <w:rFonts w:ascii="Times New Roman" w:hAnsi="Times New Roman" w:eastAsia="黑体" w:cs="Times New Roman"/>
          <w:bCs/>
          <w:color w:val="auto"/>
          <w:spacing w:val="6"/>
          <w:sz w:val="32"/>
          <w:szCs w:val="32"/>
          <w:highlight w:val="none"/>
        </w:rPr>
        <w:t>第</w:t>
      </w:r>
      <w:r>
        <w:rPr>
          <w:rFonts w:hint="eastAsia" w:ascii="Times New Roman" w:hAnsi="Times New Roman" w:eastAsia="黑体" w:cs="Times New Roman"/>
          <w:bCs/>
          <w:color w:val="auto"/>
          <w:spacing w:val="6"/>
          <w:sz w:val="32"/>
          <w:szCs w:val="32"/>
          <w:highlight w:val="none"/>
        </w:rPr>
        <w:t>三十</w:t>
      </w:r>
      <w:r>
        <w:rPr>
          <w:rFonts w:hint="eastAsia" w:ascii="Times New Roman" w:hAnsi="Times New Roman" w:eastAsia="黑体" w:cs="Times New Roman"/>
          <w:bCs/>
          <w:color w:val="auto"/>
          <w:spacing w:val="6"/>
          <w:sz w:val="32"/>
          <w:szCs w:val="32"/>
          <w:highlight w:val="none"/>
          <w:lang w:val="en-US" w:eastAsia="zh-CN"/>
        </w:rPr>
        <w:t>六</w:t>
      </w:r>
      <w:r>
        <w:rPr>
          <w:rFonts w:ascii="Times New Roman" w:hAnsi="Times New Roman" w:eastAsia="黑体" w:cs="Times New Roman"/>
          <w:bCs/>
          <w:color w:val="auto"/>
          <w:spacing w:val="6"/>
          <w:sz w:val="32"/>
          <w:szCs w:val="32"/>
          <w:highlight w:val="none"/>
        </w:rPr>
        <w:t>条</w:t>
      </w:r>
      <w:r>
        <w:rPr>
          <w:rFonts w:ascii="Times New Roman" w:hAnsi="Times New Roman" w:eastAsia="仿宋_GB2312" w:cs="Times New Roman"/>
          <w:color w:val="auto"/>
          <w:spacing w:val="6"/>
          <w:sz w:val="32"/>
          <w:szCs w:val="32"/>
          <w:highlight w:val="none"/>
        </w:rPr>
        <w:t xml:space="preserve"> </w:t>
      </w:r>
      <w:r>
        <w:rPr>
          <w:rFonts w:hint="eastAsia" w:ascii="Times New Roman" w:hAnsi="Times New Roman" w:eastAsia="仿宋_GB2312" w:cs="Times New Roman"/>
          <w:color w:val="auto"/>
          <w:spacing w:val="6"/>
          <w:sz w:val="32"/>
          <w:szCs w:val="32"/>
          <w:highlight w:val="none"/>
        </w:rPr>
        <w:t>本操作指引</w:t>
      </w:r>
      <w:r>
        <w:rPr>
          <w:rFonts w:ascii="Times New Roman" w:hAnsi="Times New Roman" w:eastAsia="仿宋_GB2312" w:cs="Times New Roman"/>
          <w:color w:val="auto"/>
          <w:spacing w:val="6"/>
          <w:sz w:val="32"/>
          <w:szCs w:val="32"/>
          <w:highlight w:val="none"/>
        </w:rPr>
        <w:t>自201</w:t>
      </w:r>
      <w:r>
        <w:rPr>
          <w:rFonts w:hint="eastAsia" w:ascii="Times New Roman" w:hAnsi="Times New Roman" w:eastAsia="仿宋_GB2312" w:cs="Times New Roman"/>
          <w:color w:val="auto"/>
          <w:spacing w:val="6"/>
          <w:sz w:val="32"/>
          <w:szCs w:val="32"/>
          <w:highlight w:val="none"/>
        </w:rPr>
        <w:t>9</w:t>
      </w:r>
      <w:r>
        <w:rPr>
          <w:rFonts w:ascii="Times New Roman" w:hAnsi="Times New Roman" w:eastAsia="仿宋_GB2312" w:cs="Times New Roman"/>
          <w:color w:val="auto"/>
          <w:spacing w:val="6"/>
          <w:sz w:val="32"/>
          <w:szCs w:val="32"/>
          <w:highlight w:val="none"/>
        </w:rPr>
        <w:t>年1月1日起施行，</w:t>
      </w:r>
      <w:r>
        <w:rPr>
          <w:rFonts w:ascii="Times New Roman" w:hAnsi="Times New Roman" w:eastAsia="仿宋_GB2312" w:cs="Times New Roman"/>
          <w:color w:val="auto"/>
          <w:spacing w:val="6"/>
          <w:kern w:val="0"/>
          <w:sz w:val="32"/>
          <w:szCs w:val="32"/>
          <w:highlight w:val="none"/>
        </w:rPr>
        <w:t>有效期至202</w:t>
      </w:r>
      <w:r>
        <w:rPr>
          <w:rFonts w:hint="eastAsia" w:ascii="Times New Roman" w:hAnsi="Times New Roman" w:eastAsia="仿宋_GB2312" w:cs="Times New Roman"/>
          <w:color w:val="auto"/>
          <w:spacing w:val="6"/>
          <w:kern w:val="0"/>
          <w:sz w:val="32"/>
          <w:szCs w:val="32"/>
          <w:highlight w:val="none"/>
        </w:rPr>
        <w:t>2</w:t>
      </w:r>
      <w:r>
        <w:rPr>
          <w:rFonts w:ascii="Times New Roman" w:hAnsi="Times New Roman" w:eastAsia="仿宋_GB2312" w:cs="Times New Roman"/>
          <w:color w:val="auto"/>
          <w:spacing w:val="6"/>
          <w:kern w:val="0"/>
          <w:sz w:val="32"/>
          <w:szCs w:val="32"/>
          <w:highlight w:val="none"/>
        </w:rPr>
        <w:t>年12月31日止</w:t>
      </w:r>
      <w:r>
        <w:rPr>
          <w:rFonts w:ascii="Times New Roman" w:hAnsi="Times New Roman" w:eastAsia="仿宋_GB2312" w:cs="Times New Roman"/>
          <w:color w:val="auto"/>
          <w:spacing w:val="6"/>
          <w:sz w:val="32"/>
          <w:szCs w:val="32"/>
          <w:highlight w:val="none"/>
        </w:rPr>
        <w:t>。</w:t>
      </w:r>
    </w:p>
    <w:p>
      <w:pPr>
        <w:spacing w:line="312" w:lineRule="auto"/>
        <w:ind w:firstLine="664"/>
        <w:jc w:val="both"/>
        <w:rPr>
          <w:rFonts w:ascii="Times New Roman" w:hAnsi="Times New Roman" w:eastAsia="仿宋_GB2312" w:cs="Times New Roman"/>
          <w:color w:val="auto"/>
          <w:spacing w:val="6"/>
          <w:sz w:val="32"/>
          <w:szCs w:val="32"/>
          <w:highlight w:val="none"/>
        </w:rPr>
      </w:pPr>
    </w:p>
    <w:p>
      <w:pPr>
        <w:spacing w:line="312" w:lineRule="auto"/>
        <w:ind w:firstLine="664"/>
        <w:jc w:val="both"/>
        <w:rPr>
          <w:rFonts w:ascii="Times New Roman" w:hAnsi="Times New Roman" w:eastAsia="仿宋_GB2312" w:cs="Times New Roman"/>
          <w:color w:val="auto"/>
          <w:spacing w:val="6"/>
          <w:sz w:val="32"/>
          <w:szCs w:val="32"/>
          <w:highlight w:val="none"/>
        </w:rPr>
      </w:pPr>
    </w:p>
    <w:p>
      <w:pPr>
        <w:spacing w:line="312" w:lineRule="auto"/>
        <w:ind w:firstLine="664"/>
        <w:jc w:val="both"/>
        <w:rPr>
          <w:rFonts w:ascii="Times New Roman" w:hAnsi="Times New Roman" w:eastAsia="仿宋_GB2312" w:cs="Times New Roman"/>
          <w:color w:val="auto"/>
          <w:spacing w:val="6"/>
          <w:sz w:val="32"/>
          <w:szCs w:val="32"/>
          <w:highlight w:val="none"/>
        </w:rPr>
      </w:pPr>
    </w:p>
    <w:p>
      <w:pPr>
        <w:spacing w:line="312" w:lineRule="auto"/>
        <w:ind w:firstLine="664"/>
        <w:jc w:val="both"/>
        <w:rPr>
          <w:rFonts w:ascii="Times New Roman" w:hAnsi="Times New Roman" w:eastAsia="仿宋_GB2312" w:cs="Times New Roman"/>
          <w:color w:val="auto"/>
          <w:spacing w:val="6"/>
          <w:sz w:val="32"/>
          <w:szCs w:val="32"/>
          <w:highlight w:val="none"/>
        </w:rPr>
      </w:pPr>
    </w:p>
    <w:p>
      <w:pPr>
        <w:spacing w:line="312" w:lineRule="auto"/>
        <w:ind w:firstLine="664"/>
        <w:jc w:val="both"/>
        <w:rPr>
          <w:rFonts w:ascii="Times New Roman" w:hAnsi="Times New Roman" w:eastAsia="仿宋_GB2312" w:cs="Times New Roman"/>
          <w:color w:val="auto"/>
          <w:spacing w:val="6"/>
          <w:sz w:val="32"/>
          <w:szCs w:val="32"/>
          <w:highlight w:val="none"/>
        </w:rPr>
      </w:pPr>
    </w:p>
    <w:p>
      <w:pPr>
        <w:spacing w:line="312" w:lineRule="auto"/>
        <w:ind w:firstLine="664"/>
        <w:jc w:val="both"/>
        <w:rPr>
          <w:rFonts w:ascii="Times New Roman" w:hAnsi="Times New Roman" w:eastAsia="仿宋_GB2312" w:cs="Times New Roman"/>
          <w:color w:val="auto"/>
          <w:spacing w:val="6"/>
          <w:sz w:val="32"/>
          <w:szCs w:val="32"/>
          <w:highlight w:val="none"/>
        </w:rPr>
      </w:pPr>
    </w:p>
    <w:p>
      <w:pPr>
        <w:spacing w:line="312" w:lineRule="auto"/>
        <w:ind w:firstLine="664"/>
        <w:jc w:val="both"/>
        <w:rPr>
          <w:rFonts w:ascii="Times New Roman" w:hAnsi="Times New Roman" w:eastAsia="仿宋_GB2312" w:cs="Times New Roman"/>
          <w:color w:val="auto"/>
          <w:spacing w:val="6"/>
          <w:sz w:val="32"/>
          <w:szCs w:val="32"/>
          <w:highlight w:val="none"/>
        </w:rPr>
      </w:pPr>
      <w:r>
        <w:rPr>
          <w:rFonts w:ascii="Times New Roman" w:hAnsi="Times New Roman" w:eastAsia="仿宋_GB2312" w:cs="Times New Roman"/>
          <w:color w:val="auto"/>
          <w:spacing w:val="6"/>
          <w:sz w:val="32"/>
          <w:szCs w:val="32"/>
          <w:highlight w:val="none"/>
        </w:rPr>
        <w:t xml:space="preserve">附件：1. </w:t>
      </w:r>
      <w:r>
        <w:rPr>
          <w:rFonts w:hint="eastAsia" w:eastAsia="仿宋_GB2312"/>
          <w:bCs/>
          <w:color w:val="auto"/>
          <w:kern w:val="0"/>
          <w:sz w:val="32"/>
          <w:szCs w:val="32"/>
          <w:highlight w:val="none"/>
        </w:rPr>
        <w:t>中山火炬开发区</w:t>
      </w:r>
      <w:r>
        <w:rPr>
          <w:rFonts w:hint="eastAsia" w:eastAsia="仿宋_GB2312"/>
          <w:bCs/>
          <w:color w:val="auto"/>
          <w:kern w:val="0"/>
          <w:sz w:val="32"/>
          <w:szCs w:val="32"/>
          <w:highlight w:val="none"/>
          <w:lang w:eastAsia="zh-CN"/>
        </w:rPr>
        <w:t>《</w:t>
      </w:r>
      <w:r>
        <w:rPr>
          <w:rFonts w:hint="eastAsia" w:eastAsia="仿宋_GB2312"/>
          <w:bCs/>
          <w:color w:val="auto"/>
          <w:kern w:val="0"/>
          <w:sz w:val="32"/>
          <w:szCs w:val="32"/>
          <w:highlight w:val="none"/>
          <w:lang w:val="en-US" w:eastAsia="zh-CN"/>
        </w:rPr>
        <w:t>培育库</w:t>
      </w:r>
      <w:r>
        <w:rPr>
          <w:rFonts w:hint="eastAsia" w:eastAsia="仿宋_GB2312"/>
          <w:bCs/>
          <w:color w:val="auto"/>
          <w:kern w:val="0"/>
          <w:sz w:val="32"/>
          <w:szCs w:val="32"/>
          <w:highlight w:val="none"/>
          <w:lang w:eastAsia="zh-CN"/>
        </w:rPr>
        <w:t>》</w:t>
      </w:r>
      <w:r>
        <w:rPr>
          <w:rFonts w:hint="eastAsia" w:eastAsia="仿宋_GB2312"/>
          <w:bCs/>
          <w:color w:val="auto"/>
          <w:kern w:val="0"/>
          <w:sz w:val="32"/>
          <w:szCs w:val="32"/>
          <w:highlight w:val="none"/>
        </w:rPr>
        <w:t>入库申请表</w:t>
      </w:r>
    </w:p>
    <w:p>
      <w:pPr>
        <w:snapToGrid w:val="0"/>
        <w:spacing w:line="312" w:lineRule="auto"/>
        <w:ind w:left="2157" w:leftChars="790" w:hanging="498"/>
        <w:jc w:val="both"/>
        <w:rPr>
          <w:rFonts w:ascii="Times New Roman" w:hAnsi="Times New Roman" w:eastAsia="仿宋_GB2312" w:cs="Times New Roman"/>
          <w:color w:val="auto"/>
          <w:w w:val="98"/>
          <w:sz w:val="32"/>
          <w:szCs w:val="32"/>
          <w:highlight w:val="none"/>
        </w:rPr>
      </w:pPr>
      <w:r>
        <w:rPr>
          <w:rFonts w:ascii="Times New Roman" w:hAnsi="Times New Roman" w:eastAsia="仿宋_GB2312" w:cs="Times New Roman"/>
          <w:color w:val="auto"/>
          <w:spacing w:val="6"/>
          <w:sz w:val="32"/>
          <w:szCs w:val="32"/>
          <w:highlight w:val="none"/>
        </w:rPr>
        <w:t xml:space="preserve">2. </w:t>
      </w:r>
      <w:r>
        <w:rPr>
          <w:rFonts w:hint="eastAsia" w:ascii="Times New Roman" w:hAnsi="Times New Roman" w:eastAsia="仿宋_GB2312" w:cs="Times New Roman"/>
          <w:snapToGrid w:val="0"/>
          <w:color w:val="auto"/>
          <w:spacing w:val="6"/>
          <w:kern w:val="0"/>
          <w:sz w:val="32"/>
          <w:szCs w:val="32"/>
          <w:highlight w:val="none"/>
        </w:rPr>
        <w:t>信贷业务贷款项目备案申请函</w:t>
      </w:r>
    </w:p>
    <w:p>
      <w:pPr>
        <w:snapToGrid w:val="0"/>
        <w:spacing w:line="312" w:lineRule="auto"/>
        <w:ind w:firstLine="1660"/>
        <w:jc w:val="both"/>
        <w:rPr>
          <w:rFonts w:ascii="Times New Roman" w:hAnsi="Times New Roman" w:eastAsia="仿宋_GB2312" w:cs="Times New Roman"/>
          <w:color w:val="auto"/>
          <w:spacing w:val="6"/>
          <w:sz w:val="32"/>
          <w:szCs w:val="32"/>
          <w:highlight w:val="none"/>
        </w:rPr>
      </w:pPr>
      <w:r>
        <w:rPr>
          <w:rFonts w:ascii="Times New Roman" w:hAnsi="Times New Roman" w:eastAsia="仿宋_GB2312" w:cs="Times New Roman"/>
          <w:color w:val="auto"/>
          <w:spacing w:val="6"/>
          <w:sz w:val="32"/>
          <w:szCs w:val="32"/>
          <w:highlight w:val="none"/>
        </w:rPr>
        <w:t xml:space="preserve">3. </w:t>
      </w:r>
      <w:r>
        <w:rPr>
          <w:rFonts w:hint="eastAsia" w:ascii="Times New Roman" w:hAnsi="Times New Roman" w:eastAsia="仿宋_GB2312" w:cs="Times New Roman"/>
          <w:snapToGrid w:val="0"/>
          <w:color w:val="auto"/>
          <w:spacing w:val="6"/>
          <w:kern w:val="0"/>
          <w:sz w:val="32"/>
          <w:szCs w:val="32"/>
          <w:highlight w:val="none"/>
        </w:rPr>
        <w:t>信贷业务贷款项目备案确认函</w:t>
      </w:r>
    </w:p>
    <w:p>
      <w:pPr>
        <w:numPr>
          <w:ilvl w:val="0"/>
          <w:numId w:val="7"/>
        </w:numPr>
        <w:snapToGrid w:val="0"/>
        <w:spacing w:line="312" w:lineRule="auto"/>
        <w:ind w:firstLine="1660"/>
        <w:jc w:val="both"/>
        <w:rPr>
          <w:rFonts w:ascii="Times New Roman" w:hAnsi="Times New Roman" w:eastAsia="仿宋_GB2312" w:cs="Times New Roman"/>
          <w:color w:val="auto"/>
          <w:spacing w:val="6"/>
          <w:sz w:val="32"/>
          <w:szCs w:val="32"/>
          <w:highlight w:val="none"/>
        </w:rPr>
      </w:pPr>
      <w:r>
        <w:rPr>
          <w:rFonts w:hint="eastAsia" w:ascii="Times New Roman" w:hAnsi="Times New Roman" w:eastAsia="仿宋_GB2312" w:cs="Times New Roman"/>
          <w:snapToGrid w:val="0"/>
          <w:color w:val="auto"/>
          <w:spacing w:val="6"/>
          <w:kern w:val="0"/>
          <w:sz w:val="32"/>
          <w:szCs w:val="32"/>
          <w:highlight w:val="none"/>
        </w:rPr>
        <w:t>中山火炬开发区信贷实际贷款项目表</w:t>
      </w:r>
    </w:p>
    <w:p>
      <w:pPr>
        <w:snapToGrid w:val="0"/>
        <w:spacing w:line="312" w:lineRule="auto"/>
        <w:ind w:left="2157" w:leftChars="790" w:hanging="498"/>
        <w:jc w:val="both"/>
        <w:rPr>
          <w:rFonts w:ascii="Times New Roman" w:hAnsi="Times New Roman" w:eastAsia="黑体" w:cs="Times New Roman"/>
          <w:color w:val="auto"/>
          <w:sz w:val="32"/>
          <w:szCs w:val="32"/>
          <w:highlight w:val="none"/>
        </w:rPr>
      </w:pPr>
      <w:r>
        <w:rPr>
          <w:rFonts w:ascii="Times New Roman" w:hAnsi="Times New Roman" w:eastAsia="仿宋_GB2312" w:cs="Times New Roman"/>
          <w:color w:val="auto"/>
          <w:spacing w:val="6"/>
          <w:sz w:val="32"/>
          <w:szCs w:val="32"/>
          <w:highlight w:val="none"/>
        </w:rPr>
        <w:t xml:space="preserve">5. </w:t>
      </w:r>
      <w:r>
        <w:rPr>
          <w:rFonts w:hint="eastAsia" w:ascii="Times New Roman" w:hAnsi="Times New Roman" w:eastAsia="仿宋_GB2312" w:cs="Times New Roman"/>
          <w:color w:val="auto"/>
          <w:spacing w:val="6"/>
          <w:kern w:val="0"/>
          <w:sz w:val="32"/>
          <w:szCs w:val="32"/>
          <w:highlight w:val="none"/>
        </w:rPr>
        <w:t>中山火炬开发区企业担保金信贷贴息申请表</w:t>
      </w:r>
    </w:p>
    <w:p>
      <w:pPr>
        <w:spacing w:line="500" w:lineRule="exact"/>
        <w:jc w:val="both"/>
        <w:rPr>
          <w:rFonts w:ascii="Times New Roman" w:hAnsi="Times New Roman" w:eastAsia="黑体" w:cs="Times New Roman"/>
          <w:color w:val="auto"/>
          <w:sz w:val="32"/>
          <w:szCs w:val="32"/>
          <w:highlight w:val="none"/>
        </w:rPr>
      </w:pPr>
    </w:p>
    <w:p>
      <w:pPr>
        <w:spacing w:line="500" w:lineRule="exact"/>
        <w:jc w:val="both"/>
        <w:rPr>
          <w:rFonts w:ascii="Times New Roman" w:hAnsi="Times New Roman" w:eastAsia="黑体" w:cs="Times New Roman"/>
          <w:color w:val="auto"/>
          <w:sz w:val="32"/>
          <w:szCs w:val="32"/>
          <w:highlight w:val="none"/>
        </w:rPr>
      </w:pPr>
    </w:p>
    <w:p>
      <w:pPr>
        <w:spacing w:line="500" w:lineRule="exact"/>
        <w:jc w:val="both"/>
        <w:rPr>
          <w:rFonts w:ascii="Times New Roman" w:hAnsi="Times New Roman" w:eastAsia="黑体" w:cs="Times New Roman"/>
          <w:color w:val="auto"/>
          <w:sz w:val="32"/>
          <w:szCs w:val="32"/>
          <w:highlight w:val="none"/>
        </w:rPr>
      </w:pPr>
    </w:p>
    <w:p>
      <w:pPr>
        <w:spacing w:line="500" w:lineRule="exact"/>
        <w:jc w:val="both"/>
        <w:rPr>
          <w:rFonts w:ascii="Times New Roman" w:hAnsi="Times New Roman" w:eastAsia="黑体" w:cs="Times New Roman"/>
          <w:color w:val="auto"/>
          <w:sz w:val="32"/>
          <w:szCs w:val="32"/>
          <w:highlight w:val="none"/>
        </w:rPr>
      </w:pPr>
    </w:p>
    <w:p>
      <w:pPr>
        <w:spacing w:line="500" w:lineRule="exact"/>
        <w:jc w:val="both"/>
        <w:rPr>
          <w:rFonts w:ascii="Times New Roman" w:hAnsi="Times New Roman" w:eastAsia="黑体" w:cs="Times New Roman"/>
          <w:color w:val="auto"/>
          <w:sz w:val="32"/>
          <w:szCs w:val="32"/>
          <w:highlight w:val="none"/>
        </w:rPr>
      </w:pPr>
    </w:p>
    <w:p>
      <w:pPr>
        <w:spacing w:line="500" w:lineRule="exact"/>
        <w:jc w:val="both"/>
        <w:rPr>
          <w:rFonts w:ascii="Times New Roman" w:hAnsi="Times New Roman" w:eastAsia="黑体" w:cs="Times New Roman"/>
          <w:color w:val="auto"/>
          <w:sz w:val="32"/>
          <w:szCs w:val="32"/>
          <w:highlight w:val="none"/>
        </w:rPr>
      </w:pPr>
    </w:p>
    <w:p>
      <w:pPr>
        <w:spacing w:line="500" w:lineRule="exact"/>
        <w:jc w:val="both"/>
        <w:rPr>
          <w:rFonts w:ascii="Times New Roman" w:hAnsi="Times New Roman" w:eastAsia="黑体" w:cs="Times New Roman"/>
          <w:color w:val="auto"/>
          <w:sz w:val="32"/>
          <w:szCs w:val="32"/>
          <w:highlight w:val="none"/>
        </w:rPr>
      </w:pPr>
    </w:p>
    <w:p>
      <w:pPr>
        <w:spacing w:line="500" w:lineRule="exact"/>
        <w:jc w:val="both"/>
        <w:rPr>
          <w:rFonts w:ascii="Times New Roman" w:hAnsi="Times New Roman" w:eastAsia="黑体" w:cs="Times New Roman"/>
          <w:color w:val="auto"/>
          <w:sz w:val="32"/>
          <w:szCs w:val="32"/>
          <w:highlight w:val="none"/>
        </w:rPr>
      </w:pPr>
    </w:p>
    <w:p>
      <w:pPr>
        <w:spacing w:line="500" w:lineRule="exact"/>
        <w:jc w:val="both"/>
        <w:rPr>
          <w:rFonts w:ascii="Times New Roman" w:hAnsi="Times New Roman" w:eastAsia="黑体" w:cs="Times New Roman"/>
          <w:color w:val="auto"/>
          <w:sz w:val="32"/>
          <w:szCs w:val="32"/>
          <w:highlight w:val="none"/>
        </w:rPr>
      </w:pPr>
    </w:p>
    <w:p>
      <w:pPr>
        <w:spacing w:line="500" w:lineRule="exact"/>
        <w:jc w:val="both"/>
        <w:rPr>
          <w:rFonts w:ascii="Times New Roman" w:hAnsi="Times New Roman" w:eastAsia="黑体" w:cs="Times New Roman"/>
          <w:color w:val="auto"/>
          <w:sz w:val="32"/>
          <w:szCs w:val="32"/>
          <w:highlight w:val="none"/>
        </w:rPr>
      </w:pPr>
    </w:p>
    <w:p>
      <w:pPr>
        <w:spacing w:line="500" w:lineRule="exact"/>
        <w:jc w:val="both"/>
        <w:rPr>
          <w:rFonts w:ascii="Times New Roman" w:hAnsi="Times New Roman" w:eastAsia="黑体" w:cs="Times New Roman"/>
          <w:color w:val="auto"/>
          <w:sz w:val="32"/>
          <w:szCs w:val="32"/>
          <w:highlight w:val="none"/>
        </w:rPr>
      </w:pPr>
    </w:p>
    <w:p>
      <w:pPr>
        <w:spacing w:line="500" w:lineRule="exact"/>
        <w:jc w:val="both"/>
        <w:rPr>
          <w:rFonts w:ascii="Times New Roman" w:hAnsi="Times New Roman" w:eastAsia="黑体" w:cs="Times New Roman"/>
          <w:color w:val="auto"/>
          <w:sz w:val="32"/>
          <w:szCs w:val="32"/>
          <w:highlight w:val="none"/>
        </w:rPr>
      </w:pPr>
    </w:p>
    <w:p>
      <w:pPr>
        <w:spacing w:line="500" w:lineRule="exact"/>
        <w:jc w:val="both"/>
        <w:rPr>
          <w:rFonts w:ascii="Times New Roman" w:hAnsi="Times New Roman" w:eastAsia="黑体" w:cs="Times New Roman"/>
          <w:color w:val="auto"/>
          <w:sz w:val="32"/>
          <w:szCs w:val="32"/>
          <w:highlight w:val="none"/>
        </w:rPr>
      </w:pPr>
    </w:p>
    <w:p>
      <w:pPr>
        <w:spacing w:line="500" w:lineRule="exact"/>
        <w:jc w:val="both"/>
        <w:rPr>
          <w:rFonts w:ascii="Times New Roman" w:hAnsi="Times New Roman" w:eastAsia="黑体" w:cs="Times New Roman"/>
          <w:color w:val="auto"/>
          <w:sz w:val="32"/>
          <w:szCs w:val="32"/>
          <w:highlight w:val="none"/>
        </w:rPr>
      </w:pPr>
    </w:p>
    <w:p>
      <w:pPr>
        <w:spacing w:line="500" w:lineRule="exact"/>
        <w:jc w:val="both"/>
        <w:rPr>
          <w:rFonts w:ascii="Times New Roman" w:hAnsi="Times New Roman" w:eastAsia="黑体" w:cs="Times New Roman"/>
          <w:color w:val="auto"/>
          <w:sz w:val="32"/>
          <w:szCs w:val="32"/>
          <w:highlight w:val="none"/>
        </w:rPr>
      </w:pPr>
    </w:p>
    <w:p>
      <w:pPr>
        <w:spacing w:line="500" w:lineRule="exact"/>
        <w:jc w:val="both"/>
        <w:rPr>
          <w:rFonts w:ascii="Times New Roman" w:hAnsi="Times New Roman" w:eastAsia="黑体" w:cs="Times New Roman"/>
          <w:color w:val="auto"/>
          <w:sz w:val="32"/>
          <w:szCs w:val="32"/>
          <w:highlight w:val="none"/>
        </w:rPr>
      </w:pPr>
    </w:p>
    <w:p>
      <w:pPr>
        <w:spacing w:line="500" w:lineRule="exact"/>
        <w:jc w:val="both"/>
        <w:rPr>
          <w:rFonts w:ascii="Times New Roman" w:hAnsi="Times New Roman" w:eastAsia="黑体" w:cs="Times New Roman"/>
          <w:color w:val="auto"/>
          <w:sz w:val="32"/>
          <w:szCs w:val="32"/>
          <w:highlight w:val="none"/>
        </w:rPr>
      </w:pPr>
    </w:p>
    <w:p>
      <w:pPr>
        <w:spacing w:line="500" w:lineRule="exact"/>
        <w:jc w:val="both"/>
        <w:rPr>
          <w:rFonts w:ascii="Times New Roman" w:hAnsi="Times New Roman" w:eastAsia="黑体" w:cs="Times New Roman"/>
          <w:color w:val="auto"/>
          <w:sz w:val="32"/>
          <w:szCs w:val="32"/>
          <w:highlight w:val="none"/>
        </w:rPr>
      </w:pPr>
    </w:p>
    <w:p>
      <w:pPr>
        <w:spacing w:line="500" w:lineRule="exact"/>
        <w:jc w:val="both"/>
        <w:rPr>
          <w:rFonts w:ascii="Times New Roman" w:hAnsi="Times New Roman" w:eastAsia="黑体" w:cs="Times New Roman"/>
          <w:color w:val="auto"/>
          <w:sz w:val="32"/>
          <w:szCs w:val="32"/>
          <w:highlight w:val="none"/>
        </w:rPr>
      </w:pPr>
    </w:p>
    <w:p>
      <w:pPr>
        <w:spacing w:line="500" w:lineRule="exact"/>
        <w:jc w:val="both"/>
        <w:rPr>
          <w:rFonts w:ascii="Times New Roman" w:hAnsi="Times New Roman" w:eastAsia="黑体" w:cs="Times New Roman"/>
          <w:color w:val="auto"/>
          <w:sz w:val="32"/>
          <w:szCs w:val="32"/>
          <w:highlight w:val="none"/>
        </w:rPr>
      </w:pPr>
    </w:p>
    <w:p>
      <w:pPr>
        <w:spacing w:line="500" w:lineRule="exact"/>
        <w:jc w:val="both"/>
        <w:rPr>
          <w:rFonts w:ascii="Times New Roman" w:hAnsi="Times New Roman" w:eastAsia="黑体" w:cs="Times New Roman"/>
          <w:color w:val="auto"/>
          <w:sz w:val="32"/>
          <w:szCs w:val="32"/>
          <w:highlight w:val="none"/>
        </w:rPr>
      </w:pPr>
    </w:p>
    <w:p>
      <w:pPr>
        <w:spacing w:line="500" w:lineRule="exact"/>
        <w:jc w:val="both"/>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 xml:space="preserve">附件1  </w:t>
      </w:r>
    </w:p>
    <w:p>
      <w:pPr>
        <w:spacing w:line="500" w:lineRule="exact"/>
        <w:jc w:val="both"/>
        <w:rPr>
          <w:rFonts w:ascii="Times New Roman" w:hAnsi="Times New Roman" w:eastAsia="黑体" w:cs="Times New Roman"/>
          <w:color w:val="auto"/>
          <w:sz w:val="32"/>
          <w:szCs w:val="32"/>
          <w:highlight w:val="none"/>
        </w:rPr>
      </w:pPr>
    </w:p>
    <w:p>
      <w:pPr>
        <w:spacing w:line="500" w:lineRule="exact"/>
        <w:jc w:val="center"/>
        <w:rPr>
          <w:rFonts w:ascii="微软简标宋" w:hAnsi="Times New Roman" w:eastAsia="微软简标宋" w:cs="Times New Roman"/>
          <w:color w:val="auto"/>
          <w:sz w:val="44"/>
          <w:szCs w:val="44"/>
          <w:highlight w:val="none"/>
        </w:rPr>
      </w:pPr>
      <w:r>
        <w:rPr>
          <w:rFonts w:hint="eastAsia" w:ascii="微软简标宋" w:hAnsi="Times New Roman" w:eastAsia="微软简标宋" w:cs="Times New Roman"/>
          <w:color w:val="auto"/>
          <w:sz w:val="44"/>
          <w:szCs w:val="44"/>
          <w:highlight w:val="none"/>
        </w:rPr>
        <w:t>中山火炬开发区</w:t>
      </w:r>
      <w:r>
        <w:rPr>
          <w:rFonts w:hint="eastAsia" w:ascii="微软简标宋" w:hAnsi="Times New Roman" w:eastAsia="微软简标宋" w:cs="Times New Roman"/>
          <w:color w:val="auto"/>
          <w:sz w:val="44"/>
          <w:szCs w:val="44"/>
          <w:highlight w:val="none"/>
          <w:lang w:eastAsia="zh-CN"/>
        </w:rPr>
        <w:t>《</w:t>
      </w:r>
      <w:r>
        <w:rPr>
          <w:rFonts w:hint="eastAsia" w:ascii="微软简标宋" w:hAnsi="Times New Roman" w:eastAsia="微软简标宋" w:cs="Times New Roman"/>
          <w:color w:val="auto"/>
          <w:sz w:val="44"/>
          <w:szCs w:val="44"/>
          <w:highlight w:val="none"/>
          <w:lang w:val="en-US" w:eastAsia="zh-CN"/>
        </w:rPr>
        <w:t>培育库</w:t>
      </w:r>
      <w:r>
        <w:rPr>
          <w:rFonts w:hint="eastAsia" w:ascii="微软简标宋" w:hAnsi="Times New Roman" w:eastAsia="微软简标宋" w:cs="Times New Roman"/>
          <w:color w:val="auto"/>
          <w:sz w:val="44"/>
          <w:szCs w:val="44"/>
          <w:highlight w:val="none"/>
          <w:lang w:eastAsia="zh-CN"/>
        </w:rPr>
        <w:t>》</w:t>
      </w:r>
      <w:r>
        <w:rPr>
          <w:rFonts w:hint="eastAsia" w:ascii="微软简标宋" w:hAnsi="Times New Roman" w:eastAsia="微软简标宋" w:cs="Times New Roman"/>
          <w:color w:val="auto"/>
          <w:sz w:val="44"/>
          <w:szCs w:val="44"/>
          <w:highlight w:val="none"/>
        </w:rPr>
        <w:t>入库申请表</w:t>
      </w:r>
    </w:p>
    <w:tbl>
      <w:tblPr>
        <w:tblStyle w:val="6"/>
        <w:tblW w:w="8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899"/>
        <w:gridCol w:w="2738"/>
        <w:gridCol w:w="1985"/>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906" w:type="dxa"/>
            <w:gridSpan w:val="2"/>
            <w:vAlign w:val="center"/>
          </w:tcPr>
          <w:p>
            <w:pPr>
              <w:snapToGrid w:val="0"/>
              <w:spacing w:line="44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企业名称</w:t>
            </w:r>
          </w:p>
        </w:tc>
        <w:tc>
          <w:tcPr>
            <w:tcW w:w="7088" w:type="dxa"/>
            <w:gridSpan w:val="3"/>
            <w:vAlign w:val="center"/>
          </w:tcPr>
          <w:p>
            <w:pPr>
              <w:snapToGrid w:val="0"/>
              <w:spacing w:line="44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（名称加盖章）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906" w:type="dxa"/>
            <w:gridSpan w:val="2"/>
            <w:vAlign w:val="center"/>
          </w:tcPr>
          <w:p>
            <w:pPr>
              <w:snapToGrid w:val="0"/>
              <w:spacing w:line="44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统一社会信用代码</w:t>
            </w:r>
          </w:p>
        </w:tc>
        <w:tc>
          <w:tcPr>
            <w:tcW w:w="7088" w:type="dxa"/>
            <w:gridSpan w:val="3"/>
            <w:vAlign w:val="center"/>
          </w:tcPr>
          <w:p>
            <w:pPr>
              <w:snapToGrid w:val="0"/>
              <w:spacing w:line="440" w:lineRule="exact"/>
              <w:jc w:val="both"/>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906" w:type="dxa"/>
            <w:gridSpan w:val="2"/>
            <w:vAlign w:val="center"/>
          </w:tcPr>
          <w:p>
            <w:pPr>
              <w:snapToGrid w:val="0"/>
              <w:spacing w:line="32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注册地址</w:t>
            </w:r>
          </w:p>
        </w:tc>
        <w:tc>
          <w:tcPr>
            <w:tcW w:w="7088" w:type="dxa"/>
            <w:gridSpan w:val="3"/>
            <w:vAlign w:val="center"/>
          </w:tcPr>
          <w:p>
            <w:pPr>
              <w:snapToGrid w:val="0"/>
              <w:spacing w:line="320" w:lineRule="exact"/>
              <w:jc w:val="both"/>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906" w:type="dxa"/>
            <w:gridSpan w:val="2"/>
            <w:vAlign w:val="center"/>
          </w:tcPr>
          <w:p>
            <w:pPr>
              <w:snapToGrid w:val="0"/>
              <w:spacing w:line="32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所在社区</w:t>
            </w:r>
          </w:p>
        </w:tc>
        <w:tc>
          <w:tcPr>
            <w:tcW w:w="2738" w:type="dxa"/>
            <w:vAlign w:val="center"/>
          </w:tcPr>
          <w:p>
            <w:pPr>
              <w:snapToGrid w:val="0"/>
              <w:spacing w:line="32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p>
        </w:tc>
        <w:tc>
          <w:tcPr>
            <w:tcW w:w="1985" w:type="dxa"/>
            <w:vAlign w:val="center"/>
          </w:tcPr>
          <w:p>
            <w:pPr>
              <w:snapToGrid w:val="0"/>
              <w:spacing w:line="32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成立日期</w:t>
            </w:r>
          </w:p>
        </w:tc>
        <w:tc>
          <w:tcPr>
            <w:tcW w:w="2365" w:type="dxa"/>
            <w:vAlign w:val="center"/>
          </w:tcPr>
          <w:p>
            <w:pPr>
              <w:wordWrap w:val="0"/>
              <w:snapToGrid w:val="0"/>
              <w:spacing w:line="32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906" w:type="dxa"/>
            <w:gridSpan w:val="2"/>
            <w:vAlign w:val="center"/>
          </w:tcPr>
          <w:p>
            <w:pPr>
              <w:snapToGrid w:val="0"/>
              <w:spacing w:line="32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注册资金</w:t>
            </w:r>
          </w:p>
        </w:tc>
        <w:tc>
          <w:tcPr>
            <w:tcW w:w="2738" w:type="dxa"/>
            <w:vAlign w:val="center"/>
          </w:tcPr>
          <w:p>
            <w:pPr>
              <w:snapToGrid w:val="0"/>
              <w:spacing w:line="320" w:lineRule="exact"/>
              <w:ind w:firstLine="1600" w:firstLineChars="5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万元</w:t>
            </w:r>
          </w:p>
        </w:tc>
        <w:tc>
          <w:tcPr>
            <w:tcW w:w="1985" w:type="dxa"/>
            <w:vAlign w:val="center"/>
          </w:tcPr>
          <w:p>
            <w:pPr>
              <w:snapToGrid w:val="0"/>
              <w:spacing w:line="32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实缴</w:t>
            </w:r>
            <w:r>
              <w:rPr>
                <w:rFonts w:hint="eastAsia" w:ascii="仿宋_GB2312" w:hAnsi="仿宋_GB2312" w:eastAsia="仿宋_GB2312" w:cs="仿宋_GB2312"/>
                <w:color w:val="auto"/>
                <w:sz w:val="32"/>
                <w:szCs w:val="32"/>
                <w:highlight w:val="none"/>
              </w:rPr>
              <w:t>资金</w:t>
            </w:r>
          </w:p>
        </w:tc>
        <w:tc>
          <w:tcPr>
            <w:tcW w:w="2365" w:type="dxa"/>
            <w:vAlign w:val="center"/>
          </w:tcPr>
          <w:p>
            <w:pPr>
              <w:snapToGrid w:val="0"/>
              <w:spacing w:line="320" w:lineRule="exact"/>
              <w:ind w:firstLine="1280" w:firstLineChars="4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906" w:type="dxa"/>
            <w:gridSpan w:val="2"/>
            <w:vAlign w:val="center"/>
          </w:tcPr>
          <w:p>
            <w:pPr>
              <w:snapToGrid w:val="0"/>
              <w:spacing w:line="32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从业人员期末数</w:t>
            </w:r>
          </w:p>
        </w:tc>
        <w:tc>
          <w:tcPr>
            <w:tcW w:w="2738" w:type="dxa"/>
            <w:vAlign w:val="center"/>
          </w:tcPr>
          <w:p>
            <w:pPr>
              <w:snapToGrid w:val="0"/>
              <w:spacing w:line="32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人</w:t>
            </w:r>
          </w:p>
        </w:tc>
        <w:tc>
          <w:tcPr>
            <w:tcW w:w="1985" w:type="dxa"/>
            <w:vAlign w:val="center"/>
          </w:tcPr>
          <w:p>
            <w:pPr>
              <w:snapToGrid w:val="0"/>
              <w:spacing w:line="32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厂房面积</w:t>
            </w:r>
          </w:p>
        </w:tc>
        <w:tc>
          <w:tcPr>
            <w:tcW w:w="2365" w:type="dxa"/>
            <w:vAlign w:val="center"/>
          </w:tcPr>
          <w:p>
            <w:pPr>
              <w:snapToGrid w:val="0"/>
              <w:spacing w:line="320" w:lineRule="exact"/>
              <w:ind w:firstLine="960" w:firstLineChars="3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906" w:type="dxa"/>
            <w:gridSpan w:val="2"/>
            <w:vAlign w:val="center"/>
          </w:tcPr>
          <w:p>
            <w:pPr>
              <w:snapToGrid w:val="0"/>
              <w:spacing w:line="32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法人代表</w:t>
            </w:r>
          </w:p>
        </w:tc>
        <w:tc>
          <w:tcPr>
            <w:tcW w:w="2738" w:type="dxa"/>
            <w:vAlign w:val="center"/>
          </w:tcPr>
          <w:p>
            <w:pPr>
              <w:snapToGrid w:val="0"/>
              <w:spacing w:line="320" w:lineRule="exact"/>
              <w:jc w:val="both"/>
              <w:rPr>
                <w:rFonts w:hint="eastAsia" w:ascii="仿宋_GB2312" w:hAnsi="仿宋_GB2312" w:eastAsia="仿宋_GB2312" w:cs="仿宋_GB2312"/>
                <w:color w:val="auto"/>
                <w:sz w:val="32"/>
                <w:szCs w:val="32"/>
                <w:highlight w:val="none"/>
              </w:rPr>
            </w:pPr>
          </w:p>
        </w:tc>
        <w:tc>
          <w:tcPr>
            <w:tcW w:w="1985" w:type="dxa"/>
            <w:vAlign w:val="center"/>
          </w:tcPr>
          <w:p>
            <w:pPr>
              <w:snapToGrid w:val="0"/>
              <w:spacing w:line="32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联系电话</w:t>
            </w:r>
          </w:p>
        </w:tc>
        <w:tc>
          <w:tcPr>
            <w:tcW w:w="2365" w:type="dxa"/>
            <w:vAlign w:val="center"/>
          </w:tcPr>
          <w:p>
            <w:pPr>
              <w:snapToGrid w:val="0"/>
              <w:spacing w:line="320" w:lineRule="exact"/>
              <w:jc w:val="both"/>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jc w:val="center"/>
        </w:trPr>
        <w:tc>
          <w:tcPr>
            <w:tcW w:w="1007" w:type="dxa"/>
            <w:vMerge w:val="restart"/>
            <w:vAlign w:val="center"/>
          </w:tcPr>
          <w:p>
            <w:pPr>
              <w:snapToGrid w:val="0"/>
              <w:spacing w:line="32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联系人</w:t>
            </w:r>
          </w:p>
        </w:tc>
        <w:tc>
          <w:tcPr>
            <w:tcW w:w="899" w:type="dxa"/>
            <w:vAlign w:val="center"/>
          </w:tcPr>
          <w:p>
            <w:pPr>
              <w:snapToGrid w:val="0"/>
              <w:spacing w:line="32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姓名</w:t>
            </w:r>
          </w:p>
        </w:tc>
        <w:tc>
          <w:tcPr>
            <w:tcW w:w="2738" w:type="dxa"/>
            <w:vAlign w:val="center"/>
          </w:tcPr>
          <w:p>
            <w:pPr>
              <w:snapToGrid w:val="0"/>
              <w:spacing w:line="320" w:lineRule="exact"/>
              <w:jc w:val="both"/>
              <w:rPr>
                <w:rFonts w:hint="eastAsia" w:ascii="仿宋_GB2312" w:hAnsi="仿宋_GB2312" w:eastAsia="仿宋_GB2312" w:cs="仿宋_GB2312"/>
                <w:color w:val="auto"/>
                <w:sz w:val="32"/>
                <w:szCs w:val="32"/>
                <w:highlight w:val="none"/>
              </w:rPr>
            </w:pPr>
          </w:p>
        </w:tc>
        <w:tc>
          <w:tcPr>
            <w:tcW w:w="1985" w:type="dxa"/>
            <w:vAlign w:val="center"/>
          </w:tcPr>
          <w:p>
            <w:pPr>
              <w:snapToGrid w:val="0"/>
              <w:spacing w:line="32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固定电话/手机</w:t>
            </w:r>
          </w:p>
        </w:tc>
        <w:tc>
          <w:tcPr>
            <w:tcW w:w="2365" w:type="dxa"/>
            <w:vAlign w:val="center"/>
          </w:tcPr>
          <w:p>
            <w:pPr>
              <w:snapToGrid w:val="0"/>
              <w:spacing w:line="320" w:lineRule="exact"/>
              <w:jc w:val="both"/>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007" w:type="dxa"/>
            <w:vMerge w:val="continue"/>
            <w:vAlign w:val="center"/>
          </w:tcPr>
          <w:p>
            <w:pPr>
              <w:snapToGrid w:val="0"/>
              <w:spacing w:line="320" w:lineRule="exact"/>
              <w:jc w:val="both"/>
              <w:rPr>
                <w:rFonts w:hint="eastAsia" w:ascii="仿宋_GB2312" w:hAnsi="仿宋_GB2312" w:eastAsia="仿宋_GB2312" w:cs="仿宋_GB2312"/>
                <w:color w:val="auto"/>
                <w:sz w:val="32"/>
                <w:szCs w:val="32"/>
                <w:highlight w:val="none"/>
              </w:rPr>
            </w:pPr>
          </w:p>
        </w:tc>
        <w:tc>
          <w:tcPr>
            <w:tcW w:w="899" w:type="dxa"/>
            <w:vAlign w:val="center"/>
          </w:tcPr>
          <w:p>
            <w:pPr>
              <w:snapToGrid w:val="0"/>
              <w:spacing w:line="32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职务</w:t>
            </w:r>
          </w:p>
        </w:tc>
        <w:tc>
          <w:tcPr>
            <w:tcW w:w="2738" w:type="dxa"/>
            <w:vAlign w:val="center"/>
          </w:tcPr>
          <w:p>
            <w:pPr>
              <w:snapToGrid w:val="0"/>
              <w:spacing w:line="320" w:lineRule="exact"/>
              <w:jc w:val="both"/>
              <w:rPr>
                <w:rFonts w:hint="eastAsia" w:ascii="仿宋_GB2312" w:hAnsi="仿宋_GB2312" w:eastAsia="仿宋_GB2312" w:cs="仿宋_GB2312"/>
                <w:color w:val="auto"/>
                <w:sz w:val="32"/>
                <w:szCs w:val="32"/>
                <w:highlight w:val="none"/>
              </w:rPr>
            </w:pPr>
          </w:p>
        </w:tc>
        <w:tc>
          <w:tcPr>
            <w:tcW w:w="1985" w:type="dxa"/>
            <w:vAlign w:val="center"/>
          </w:tcPr>
          <w:p>
            <w:pPr>
              <w:snapToGrid w:val="0"/>
              <w:spacing w:line="32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电子邮箱</w:t>
            </w:r>
          </w:p>
        </w:tc>
        <w:tc>
          <w:tcPr>
            <w:tcW w:w="2365" w:type="dxa"/>
            <w:vAlign w:val="center"/>
          </w:tcPr>
          <w:p>
            <w:pPr>
              <w:snapToGrid w:val="0"/>
              <w:spacing w:line="320" w:lineRule="exact"/>
              <w:jc w:val="both"/>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6" w:type="dxa"/>
            <w:gridSpan w:val="2"/>
            <w:vMerge w:val="restart"/>
            <w:vAlign w:val="center"/>
          </w:tcPr>
          <w:p>
            <w:pPr>
              <w:snapToGrid w:val="0"/>
              <w:spacing w:line="32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企业主要负责人</w:t>
            </w:r>
          </w:p>
          <w:p>
            <w:pPr>
              <w:snapToGrid w:val="0"/>
              <w:spacing w:line="32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（含法人代表）</w:t>
            </w:r>
          </w:p>
        </w:tc>
        <w:tc>
          <w:tcPr>
            <w:tcW w:w="2738" w:type="dxa"/>
            <w:vAlign w:val="center"/>
          </w:tcPr>
          <w:p>
            <w:pPr>
              <w:snapToGrid w:val="0"/>
              <w:spacing w:line="32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姓名</w:t>
            </w:r>
          </w:p>
        </w:tc>
        <w:tc>
          <w:tcPr>
            <w:tcW w:w="4350" w:type="dxa"/>
            <w:gridSpan w:val="2"/>
            <w:vAlign w:val="center"/>
          </w:tcPr>
          <w:p>
            <w:pPr>
              <w:snapToGrid w:val="0"/>
              <w:spacing w:line="32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6" w:type="dxa"/>
            <w:gridSpan w:val="2"/>
            <w:vMerge w:val="continue"/>
            <w:vAlign w:val="center"/>
          </w:tcPr>
          <w:p>
            <w:pPr>
              <w:snapToGrid w:val="0"/>
              <w:spacing w:line="320" w:lineRule="exact"/>
              <w:jc w:val="both"/>
              <w:rPr>
                <w:rFonts w:hint="eastAsia" w:ascii="仿宋_GB2312" w:hAnsi="仿宋_GB2312" w:eastAsia="仿宋_GB2312" w:cs="仿宋_GB2312"/>
                <w:color w:val="auto"/>
                <w:sz w:val="32"/>
                <w:szCs w:val="32"/>
                <w:highlight w:val="none"/>
              </w:rPr>
            </w:pPr>
          </w:p>
        </w:tc>
        <w:tc>
          <w:tcPr>
            <w:tcW w:w="2738" w:type="dxa"/>
            <w:vAlign w:val="center"/>
          </w:tcPr>
          <w:p>
            <w:pPr>
              <w:snapToGrid w:val="0"/>
              <w:spacing w:line="320" w:lineRule="exact"/>
              <w:jc w:val="both"/>
              <w:rPr>
                <w:rFonts w:hint="eastAsia" w:ascii="仿宋_GB2312" w:hAnsi="仿宋_GB2312" w:eastAsia="仿宋_GB2312" w:cs="仿宋_GB2312"/>
                <w:color w:val="auto"/>
                <w:sz w:val="32"/>
                <w:szCs w:val="32"/>
                <w:highlight w:val="none"/>
              </w:rPr>
            </w:pPr>
          </w:p>
        </w:tc>
        <w:tc>
          <w:tcPr>
            <w:tcW w:w="4350" w:type="dxa"/>
            <w:gridSpan w:val="2"/>
            <w:vAlign w:val="center"/>
          </w:tcPr>
          <w:p>
            <w:pPr>
              <w:snapToGrid w:val="0"/>
              <w:spacing w:line="320" w:lineRule="exact"/>
              <w:jc w:val="both"/>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6" w:type="dxa"/>
            <w:gridSpan w:val="2"/>
            <w:vMerge w:val="continue"/>
            <w:vAlign w:val="center"/>
          </w:tcPr>
          <w:p>
            <w:pPr>
              <w:snapToGrid w:val="0"/>
              <w:spacing w:line="320" w:lineRule="exact"/>
              <w:jc w:val="both"/>
              <w:rPr>
                <w:rFonts w:hint="eastAsia" w:ascii="仿宋_GB2312" w:hAnsi="仿宋_GB2312" w:eastAsia="仿宋_GB2312" w:cs="仿宋_GB2312"/>
                <w:color w:val="auto"/>
                <w:sz w:val="32"/>
                <w:szCs w:val="32"/>
                <w:highlight w:val="none"/>
              </w:rPr>
            </w:pPr>
          </w:p>
        </w:tc>
        <w:tc>
          <w:tcPr>
            <w:tcW w:w="2738" w:type="dxa"/>
            <w:vAlign w:val="center"/>
          </w:tcPr>
          <w:p>
            <w:pPr>
              <w:snapToGrid w:val="0"/>
              <w:spacing w:line="320" w:lineRule="exact"/>
              <w:jc w:val="both"/>
              <w:rPr>
                <w:rFonts w:hint="eastAsia" w:ascii="仿宋_GB2312" w:hAnsi="仿宋_GB2312" w:eastAsia="仿宋_GB2312" w:cs="仿宋_GB2312"/>
                <w:color w:val="auto"/>
                <w:sz w:val="32"/>
                <w:szCs w:val="32"/>
                <w:highlight w:val="none"/>
              </w:rPr>
            </w:pPr>
          </w:p>
        </w:tc>
        <w:tc>
          <w:tcPr>
            <w:tcW w:w="4350" w:type="dxa"/>
            <w:gridSpan w:val="2"/>
            <w:vAlign w:val="center"/>
          </w:tcPr>
          <w:p>
            <w:pPr>
              <w:snapToGrid w:val="0"/>
              <w:spacing w:line="320" w:lineRule="exact"/>
              <w:jc w:val="both"/>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6" w:type="dxa"/>
            <w:gridSpan w:val="2"/>
            <w:vMerge w:val="continue"/>
            <w:vAlign w:val="center"/>
          </w:tcPr>
          <w:p>
            <w:pPr>
              <w:snapToGrid w:val="0"/>
              <w:spacing w:line="320" w:lineRule="exact"/>
              <w:jc w:val="both"/>
              <w:rPr>
                <w:rFonts w:hint="eastAsia" w:ascii="仿宋_GB2312" w:hAnsi="仿宋_GB2312" w:eastAsia="仿宋_GB2312" w:cs="仿宋_GB2312"/>
                <w:color w:val="auto"/>
                <w:sz w:val="32"/>
                <w:szCs w:val="32"/>
                <w:highlight w:val="none"/>
              </w:rPr>
            </w:pPr>
          </w:p>
        </w:tc>
        <w:tc>
          <w:tcPr>
            <w:tcW w:w="2738" w:type="dxa"/>
            <w:vAlign w:val="center"/>
          </w:tcPr>
          <w:p>
            <w:pPr>
              <w:snapToGrid w:val="0"/>
              <w:spacing w:line="320" w:lineRule="exact"/>
              <w:jc w:val="both"/>
              <w:rPr>
                <w:rFonts w:hint="eastAsia" w:ascii="仿宋_GB2312" w:hAnsi="仿宋_GB2312" w:eastAsia="仿宋_GB2312" w:cs="仿宋_GB2312"/>
                <w:color w:val="auto"/>
                <w:sz w:val="32"/>
                <w:szCs w:val="32"/>
                <w:highlight w:val="none"/>
              </w:rPr>
            </w:pPr>
          </w:p>
        </w:tc>
        <w:tc>
          <w:tcPr>
            <w:tcW w:w="4350" w:type="dxa"/>
            <w:gridSpan w:val="2"/>
            <w:vAlign w:val="center"/>
          </w:tcPr>
          <w:p>
            <w:pPr>
              <w:snapToGrid w:val="0"/>
              <w:spacing w:line="320" w:lineRule="exact"/>
              <w:jc w:val="both"/>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6" w:type="dxa"/>
            <w:gridSpan w:val="2"/>
            <w:vAlign w:val="center"/>
          </w:tcPr>
          <w:p>
            <w:pPr>
              <w:snapToGrid w:val="0"/>
              <w:spacing w:line="32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企业属性</w:t>
            </w:r>
          </w:p>
        </w:tc>
        <w:tc>
          <w:tcPr>
            <w:tcW w:w="7088" w:type="dxa"/>
            <w:gridSpan w:val="3"/>
            <w:vAlign w:val="center"/>
          </w:tcPr>
          <w:p>
            <w:pPr>
              <w:snapToGrid w:val="0"/>
              <w:spacing w:line="32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□民营   □集体   □中外合资   □国有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6" w:type="dxa"/>
            <w:gridSpan w:val="2"/>
            <w:vAlign w:val="center"/>
          </w:tcPr>
          <w:p>
            <w:pPr>
              <w:snapToGrid w:val="0"/>
              <w:spacing w:line="32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所属行业</w:t>
            </w:r>
          </w:p>
        </w:tc>
        <w:tc>
          <w:tcPr>
            <w:tcW w:w="7088" w:type="dxa"/>
            <w:gridSpan w:val="3"/>
            <w:vAlign w:val="center"/>
          </w:tcPr>
          <w:p>
            <w:pPr>
              <w:snapToGrid w:val="0"/>
              <w:spacing w:line="320" w:lineRule="exact"/>
              <w:jc w:val="both"/>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906" w:type="dxa"/>
            <w:gridSpan w:val="2"/>
            <w:vAlign w:val="center"/>
          </w:tcPr>
          <w:p>
            <w:pPr>
              <w:snapToGrid w:val="0"/>
              <w:spacing w:line="32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经营范围</w:t>
            </w:r>
          </w:p>
        </w:tc>
        <w:tc>
          <w:tcPr>
            <w:tcW w:w="7088" w:type="dxa"/>
            <w:gridSpan w:val="3"/>
            <w:vAlign w:val="center"/>
          </w:tcPr>
          <w:p>
            <w:pPr>
              <w:snapToGrid w:val="0"/>
              <w:spacing w:line="320" w:lineRule="exact"/>
              <w:jc w:val="both"/>
              <w:rPr>
                <w:rFonts w:hint="eastAsia" w:ascii="仿宋_GB2312" w:hAnsi="仿宋_GB2312" w:eastAsia="仿宋_GB2312" w:cs="仿宋_GB2312"/>
                <w:color w:val="auto"/>
                <w:sz w:val="32"/>
                <w:szCs w:val="32"/>
                <w:highlight w:val="none"/>
              </w:rPr>
            </w:pPr>
          </w:p>
          <w:p>
            <w:pPr>
              <w:snapToGrid w:val="0"/>
              <w:spacing w:line="320" w:lineRule="exact"/>
              <w:jc w:val="both"/>
              <w:rPr>
                <w:rFonts w:hint="eastAsia" w:ascii="仿宋_GB2312" w:hAnsi="仿宋_GB2312" w:eastAsia="仿宋_GB2312" w:cs="仿宋_GB2312"/>
                <w:color w:val="auto"/>
                <w:sz w:val="32"/>
                <w:szCs w:val="32"/>
                <w:highlight w:val="none"/>
              </w:rPr>
            </w:pPr>
          </w:p>
          <w:p>
            <w:pPr>
              <w:snapToGrid w:val="0"/>
              <w:spacing w:line="320" w:lineRule="exact"/>
              <w:jc w:val="both"/>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906" w:type="dxa"/>
            <w:gridSpan w:val="2"/>
            <w:vMerge w:val="restart"/>
            <w:vAlign w:val="center"/>
          </w:tcPr>
          <w:p>
            <w:pPr>
              <w:snapToGrid w:val="0"/>
              <w:spacing w:line="32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企业纳税申报表</w:t>
            </w:r>
            <w:r>
              <w:rPr>
                <w:rFonts w:hint="eastAsia" w:ascii="仿宋_GB2312" w:hAnsi="仿宋_GB2312" w:eastAsia="仿宋_GB2312" w:cs="仿宋_GB2312"/>
                <w:color w:val="auto"/>
                <w:sz w:val="32"/>
                <w:szCs w:val="32"/>
                <w:highlight w:val="none"/>
                <w:lang w:val="en-US" w:eastAsia="zh-CN"/>
              </w:rPr>
              <w:t>营收</w:t>
            </w:r>
            <w:r>
              <w:rPr>
                <w:rFonts w:hint="eastAsia" w:ascii="仿宋_GB2312" w:hAnsi="仿宋_GB2312" w:eastAsia="仿宋_GB2312" w:cs="仿宋_GB2312"/>
                <w:color w:val="auto"/>
                <w:sz w:val="32"/>
                <w:szCs w:val="32"/>
                <w:highlight w:val="none"/>
              </w:rPr>
              <w:t>（万元）</w:t>
            </w:r>
          </w:p>
        </w:tc>
        <w:tc>
          <w:tcPr>
            <w:tcW w:w="2738" w:type="dxa"/>
            <w:vAlign w:val="center"/>
          </w:tcPr>
          <w:p>
            <w:pPr>
              <w:snapToGrid w:val="0"/>
              <w:spacing w:line="32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上一个会计年度</w:t>
            </w:r>
          </w:p>
        </w:tc>
        <w:tc>
          <w:tcPr>
            <w:tcW w:w="4350" w:type="dxa"/>
            <w:gridSpan w:val="2"/>
            <w:vAlign w:val="center"/>
          </w:tcPr>
          <w:p>
            <w:pPr>
              <w:snapToGrid w:val="0"/>
              <w:spacing w:line="320" w:lineRule="exact"/>
              <w:jc w:val="both"/>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6" w:type="dxa"/>
            <w:gridSpan w:val="2"/>
            <w:vMerge w:val="continue"/>
            <w:vAlign w:val="center"/>
          </w:tcPr>
          <w:p>
            <w:pPr>
              <w:snapToGrid w:val="0"/>
              <w:spacing w:line="320" w:lineRule="exact"/>
              <w:jc w:val="both"/>
              <w:rPr>
                <w:rFonts w:hint="eastAsia" w:ascii="仿宋_GB2312" w:hAnsi="仿宋_GB2312" w:eastAsia="仿宋_GB2312" w:cs="仿宋_GB2312"/>
                <w:color w:val="auto"/>
                <w:sz w:val="32"/>
                <w:szCs w:val="32"/>
                <w:highlight w:val="none"/>
              </w:rPr>
            </w:pPr>
          </w:p>
        </w:tc>
        <w:tc>
          <w:tcPr>
            <w:tcW w:w="2738" w:type="dxa"/>
            <w:vAlign w:val="center"/>
          </w:tcPr>
          <w:p>
            <w:pPr>
              <w:snapToGrid w:val="0"/>
              <w:spacing w:line="32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最近一个季度</w:t>
            </w:r>
          </w:p>
        </w:tc>
        <w:tc>
          <w:tcPr>
            <w:tcW w:w="4350" w:type="dxa"/>
            <w:gridSpan w:val="2"/>
            <w:vAlign w:val="center"/>
          </w:tcPr>
          <w:p>
            <w:pPr>
              <w:snapToGrid w:val="0"/>
              <w:spacing w:line="320" w:lineRule="exact"/>
              <w:jc w:val="both"/>
              <w:rPr>
                <w:rFonts w:hint="eastAsia" w:ascii="仿宋_GB2312" w:hAnsi="仿宋_GB2312" w:eastAsia="仿宋_GB2312" w:cs="仿宋_GB2312"/>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1906" w:type="dxa"/>
            <w:gridSpan w:val="2"/>
            <w:vAlign w:val="center"/>
          </w:tcPr>
          <w:p>
            <w:pPr>
              <w:snapToGrid w:val="0"/>
              <w:spacing w:line="32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申请单位承诺书</w:t>
            </w:r>
          </w:p>
        </w:tc>
        <w:tc>
          <w:tcPr>
            <w:tcW w:w="7088" w:type="dxa"/>
            <w:gridSpan w:val="3"/>
            <w:vAlign w:val="center"/>
          </w:tcPr>
          <w:p>
            <w:pPr>
              <w:snapToGrid w:val="0"/>
              <w:spacing w:line="320" w:lineRule="exact"/>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 xml:space="preserve">    我单位承诺：本申请表中所填报内容和所提交材料真实、合法。如不履行上述承诺或有弄虚作假行为，我单位愿意承担法律责任。</w:t>
            </w:r>
          </w:p>
        </w:tc>
      </w:tr>
    </w:tbl>
    <w:p>
      <w:pPr>
        <w:snapToGrid w:val="0"/>
        <w:spacing w:line="580" w:lineRule="exact"/>
        <w:jc w:val="both"/>
        <w:rPr>
          <w:rFonts w:ascii="Times New Roman" w:hAnsi="Times New Roman" w:eastAsia="黑体" w:cs="Times New Roman"/>
          <w:color w:val="auto"/>
          <w:sz w:val="32"/>
          <w:szCs w:val="32"/>
          <w:highlight w:val="none"/>
        </w:rPr>
      </w:pPr>
    </w:p>
    <w:p>
      <w:pPr>
        <w:snapToGrid w:val="0"/>
        <w:spacing w:line="580" w:lineRule="exact"/>
        <w:jc w:val="both"/>
        <w:rPr>
          <w:rFonts w:ascii="Times New Roman" w:hAnsi="Times New Roman" w:eastAsia="黑体" w:cs="Times New Roman"/>
          <w:color w:val="auto"/>
          <w:sz w:val="32"/>
          <w:szCs w:val="32"/>
          <w:highlight w:val="none"/>
        </w:rPr>
      </w:pPr>
    </w:p>
    <w:p>
      <w:pPr>
        <w:snapToGrid w:val="0"/>
        <w:spacing w:line="580" w:lineRule="exact"/>
        <w:jc w:val="both"/>
        <w:rPr>
          <w:rFonts w:ascii="Times New Roman" w:hAnsi="Times New Roman" w:eastAsia="黑体" w:cs="Times New Roman"/>
          <w:color w:val="auto"/>
          <w:sz w:val="32"/>
          <w:szCs w:val="32"/>
          <w:highlight w:val="none"/>
        </w:rPr>
      </w:pPr>
    </w:p>
    <w:p>
      <w:pPr>
        <w:snapToGrid w:val="0"/>
        <w:spacing w:line="580" w:lineRule="exact"/>
        <w:jc w:val="both"/>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附件2</w:t>
      </w:r>
    </w:p>
    <w:p>
      <w:pPr>
        <w:snapToGrid w:val="0"/>
        <w:spacing w:line="580" w:lineRule="exact"/>
        <w:jc w:val="both"/>
        <w:rPr>
          <w:rFonts w:ascii="Times New Roman" w:hAnsi="Times New Roman" w:eastAsia="黑体" w:cs="Times New Roman"/>
          <w:color w:val="auto"/>
          <w:sz w:val="32"/>
          <w:szCs w:val="32"/>
          <w:highlight w:val="none"/>
        </w:rPr>
      </w:pPr>
    </w:p>
    <w:p>
      <w:pPr>
        <w:snapToGrid w:val="0"/>
        <w:spacing w:line="580" w:lineRule="exact"/>
        <w:jc w:val="center"/>
        <w:rPr>
          <w:rFonts w:ascii="微软简标宋" w:hAnsi="Times New Roman" w:eastAsia="微软简标宋" w:cs="Times New Roman"/>
          <w:color w:val="auto"/>
          <w:sz w:val="44"/>
          <w:szCs w:val="44"/>
          <w:highlight w:val="none"/>
        </w:rPr>
      </w:pPr>
      <w:r>
        <w:rPr>
          <w:rFonts w:hint="eastAsia" w:ascii="微软简标宋" w:hAnsi="Times New Roman" w:eastAsia="微软简标宋" w:cs="Times New Roman"/>
          <w:color w:val="auto"/>
          <w:sz w:val="44"/>
          <w:szCs w:val="44"/>
          <w:highlight w:val="none"/>
        </w:rPr>
        <w:t>信贷业务贷款项目备案申请函</w:t>
      </w:r>
    </w:p>
    <w:p>
      <w:pPr>
        <w:widowControl/>
        <w:spacing w:line="574" w:lineRule="exact"/>
        <w:ind w:right="23" w:rightChars="11"/>
        <w:jc w:val="both"/>
        <w:rPr>
          <w:rFonts w:ascii="仿宋_GB2312" w:hAnsi="仿宋_GB2312" w:eastAsia="仿宋_GB2312" w:cs="仿宋_GB2312"/>
          <w:color w:val="auto"/>
          <w:kern w:val="0"/>
          <w:sz w:val="32"/>
          <w:szCs w:val="28"/>
          <w:highlight w:val="none"/>
        </w:rPr>
      </w:pPr>
    </w:p>
    <w:p>
      <w:pPr>
        <w:snapToGrid w:val="0"/>
        <w:spacing w:line="360" w:lineRule="auto"/>
        <w:jc w:val="both"/>
        <w:rPr>
          <w:rFonts w:ascii="仿宋_GB2312" w:hAnsi="仿宋_GB2312" w:eastAsia="仿宋_GB2312" w:cs="仿宋_GB2312"/>
          <w:color w:val="auto"/>
          <w:kern w:val="0"/>
          <w:sz w:val="32"/>
          <w:szCs w:val="28"/>
          <w:highlight w:val="none"/>
        </w:rPr>
      </w:pPr>
      <w:r>
        <w:rPr>
          <w:rFonts w:hint="eastAsia" w:ascii="仿宋_GB2312" w:hAnsi="仿宋_GB2312" w:eastAsia="仿宋_GB2312" w:cs="仿宋_GB2312"/>
          <w:color w:val="auto"/>
          <w:kern w:val="0"/>
          <w:sz w:val="32"/>
          <w:szCs w:val="28"/>
          <w:highlight w:val="none"/>
        </w:rPr>
        <w:t>中山火炬开发区科技金融综合服务中心：</w:t>
      </w:r>
    </w:p>
    <w:p>
      <w:pPr>
        <w:snapToGrid w:val="0"/>
        <w:spacing w:line="360" w:lineRule="auto"/>
        <w:ind w:firstLine="640"/>
        <w:jc w:val="both"/>
        <w:rPr>
          <w:rFonts w:ascii="仿宋_GB2312" w:hAnsi="仿宋_GB2312" w:eastAsia="仿宋_GB2312" w:cs="仿宋_GB2312"/>
          <w:color w:val="auto"/>
          <w:kern w:val="0"/>
          <w:sz w:val="32"/>
          <w:szCs w:val="28"/>
          <w:highlight w:val="none"/>
        </w:rPr>
      </w:pPr>
      <w:r>
        <w:rPr>
          <w:rFonts w:hint="eastAsia" w:ascii="仿宋_GB2312" w:hAnsi="仿宋_GB2312" w:eastAsia="仿宋_GB2312" w:cs="仿宋_GB2312"/>
          <w:color w:val="auto"/>
          <w:kern w:val="0"/>
          <w:sz w:val="32"/>
          <w:szCs w:val="28"/>
          <w:highlight w:val="none"/>
        </w:rPr>
        <w:t>根据</w:t>
      </w:r>
      <w:r>
        <w:rPr>
          <w:rFonts w:hint="eastAsia" w:ascii="仿宋_GB2312" w:hAnsi="仿宋_GB2312" w:eastAsia="仿宋_GB2312" w:cs="仿宋_GB2312"/>
          <w:color w:val="auto"/>
          <w:kern w:val="0"/>
          <w:sz w:val="32"/>
          <w:szCs w:val="28"/>
          <w:highlight w:val="none"/>
          <w:u w:val="single"/>
        </w:rPr>
        <w:t xml:space="preserve">                                 </w:t>
      </w:r>
      <w:r>
        <w:rPr>
          <w:rFonts w:hint="eastAsia" w:ascii="仿宋_GB2312" w:hAnsi="仿宋_GB2312" w:eastAsia="仿宋_GB2312" w:cs="仿宋_GB2312"/>
          <w:color w:val="auto"/>
          <w:kern w:val="0"/>
          <w:sz w:val="32"/>
          <w:szCs w:val="28"/>
          <w:highlight w:val="none"/>
        </w:rPr>
        <w:t>（企业名称）的申请，经核查《</w:t>
      </w:r>
      <w:r>
        <w:rPr>
          <w:rFonts w:hint="eastAsia" w:ascii="仿宋_GB2312" w:hAnsi="仿宋_GB2312" w:eastAsia="仿宋_GB2312" w:cs="仿宋_GB2312"/>
          <w:color w:val="auto"/>
          <w:kern w:val="0"/>
          <w:sz w:val="32"/>
          <w:szCs w:val="28"/>
          <w:highlight w:val="none"/>
          <w:lang w:val="en-US" w:eastAsia="zh-CN"/>
        </w:rPr>
        <w:t>培育</w:t>
      </w:r>
      <w:r>
        <w:rPr>
          <w:rFonts w:hint="eastAsia" w:ascii="仿宋_GB2312" w:hAnsi="仿宋_GB2312" w:eastAsia="仿宋_GB2312" w:cs="仿宋_GB2312"/>
          <w:color w:val="auto"/>
          <w:kern w:val="0"/>
          <w:sz w:val="32"/>
          <w:szCs w:val="28"/>
          <w:highlight w:val="none"/>
        </w:rPr>
        <w:t>库》，我行拟受理该企业信贷业务申请。根据《</w:t>
      </w:r>
      <w:r>
        <w:rPr>
          <w:rFonts w:hint="eastAsia" w:ascii="仿宋_GB2312" w:hAnsi="仿宋_GB2312" w:eastAsia="仿宋_GB2312" w:cs="仿宋_GB2312"/>
          <w:color w:val="auto"/>
          <w:kern w:val="0"/>
          <w:sz w:val="32"/>
          <w:szCs w:val="28"/>
          <w:highlight w:val="none"/>
          <w:lang w:val="en-US" w:eastAsia="zh-CN"/>
        </w:rPr>
        <w:t>中山火炬开发区</w:t>
      </w:r>
      <w:r>
        <w:rPr>
          <w:rFonts w:hint="eastAsia" w:ascii="仿宋_GB2312" w:hAnsi="仿宋_GB2312" w:eastAsia="仿宋_GB2312" w:cs="仿宋_GB2312"/>
          <w:color w:val="auto"/>
          <w:kern w:val="0"/>
          <w:sz w:val="32"/>
          <w:szCs w:val="28"/>
          <w:highlight w:val="none"/>
        </w:rPr>
        <w:t>高成长企业信贷风险补偿金操作指引》要求，现将该企业向我行提出的信贷业务申请情况报至贵单位，请给予备案。</w:t>
      </w:r>
    </w:p>
    <w:p>
      <w:pPr>
        <w:snapToGrid w:val="0"/>
        <w:spacing w:line="360" w:lineRule="auto"/>
        <w:ind w:firstLine="640"/>
        <w:jc w:val="both"/>
        <w:rPr>
          <w:rFonts w:ascii="仿宋_GB2312" w:hAnsi="仿宋_GB2312" w:eastAsia="仿宋_GB2312" w:cs="仿宋_GB2312"/>
          <w:color w:val="auto"/>
          <w:kern w:val="0"/>
          <w:sz w:val="32"/>
          <w:szCs w:val="28"/>
          <w:highlight w:val="none"/>
        </w:rPr>
      </w:pPr>
      <w:r>
        <w:rPr>
          <w:rFonts w:hint="eastAsia" w:ascii="仿宋_GB2312" w:hAnsi="仿宋_GB2312" w:eastAsia="仿宋_GB2312" w:cs="仿宋_GB2312"/>
          <w:color w:val="auto"/>
          <w:kern w:val="0"/>
          <w:sz w:val="32"/>
          <w:szCs w:val="28"/>
          <w:highlight w:val="none"/>
        </w:rPr>
        <w:t>申请贷款金额：</w:t>
      </w:r>
      <w:r>
        <w:rPr>
          <w:rFonts w:hint="eastAsia" w:ascii="仿宋_GB2312" w:hAnsi="仿宋_GB2312" w:eastAsia="仿宋_GB2312" w:cs="仿宋_GB2312"/>
          <w:color w:val="auto"/>
          <w:kern w:val="0"/>
          <w:sz w:val="32"/>
          <w:szCs w:val="28"/>
          <w:highlight w:val="none"/>
          <w:u w:val="single"/>
        </w:rPr>
        <w:t xml:space="preserve">        </w:t>
      </w:r>
      <w:r>
        <w:rPr>
          <w:rFonts w:hint="eastAsia" w:ascii="仿宋_GB2312" w:hAnsi="仿宋_GB2312" w:eastAsia="仿宋_GB2312" w:cs="仿宋_GB2312"/>
          <w:color w:val="auto"/>
          <w:kern w:val="0"/>
          <w:sz w:val="32"/>
          <w:szCs w:val="28"/>
          <w:highlight w:val="none"/>
        </w:rPr>
        <w:t>万元；</w:t>
      </w:r>
    </w:p>
    <w:p>
      <w:pPr>
        <w:snapToGrid w:val="0"/>
        <w:spacing w:line="360" w:lineRule="auto"/>
        <w:ind w:firstLine="640"/>
        <w:jc w:val="both"/>
        <w:rPr>
          <w:rFonts w:ascii="仿宋_GB2312" w:hAnsi="仿宋_GB2312" w:eastAsia="仿宋_GB2312" w:cs="仿宋_GB2312"/>
          <w:color w:val="auto"/>
          <w:kern w:val="0"/>
          <w:sz w:val="32"/>
          <w:szCs w:val="28"/>
          <w:highlight w:val="none"/>
        </w:rPr>
      </w:pPr>
      <w:r>
        <w:rPr>
          <w:rFonts w:hint="eastAsia" w:ascii="仿宋_GB2312" w:hAnsi="仿宋_GB2312" w:eastAsia="仿宋_GB2312" w:cs="仿宋_GB2312"/>
          <w:color w:val="auto"/>
          <w:kern w:val="0"/>
          <w:sz w:val="32"/>
          <w:szCs w:val="28"/>
          <w:highlight w:val="none"/>
        </w:rPr>
        <w:t>贷款期限：</w:t>
      </w:r>
      <w:r>
        <w:rPr>
          <w:rFonts w:hint="eastAsia" w:ascii="仿宋_GB2312" w:hAnsi="仿宋_GB2312" w:eastAsia="仿宋_GB2312" w:cs="仿宋_GB2312"/>
          <w:color w:val="auto"/>
          <w:kern w:val="0"/>
          <w:sz w:val="32"/>
          <w:szCs w:val="28"/>
          <w:highlight w:val="none"/>
          <w:u w:val="single"/>
        </w:rPr>
        <w:t xml:space="preserve">                </w:t>
      </w:r>
      <w:r>
        <w:rPr>
          <w:rFonts w:hint="eastAsia" w:ascii="仿宋_GB2312" w:hAnsi="仿宋_GB2312" w:eastAsia="仿宋_GB2312" w:cs="仿宋_GB2312"/>
          <w:color w:val="auto"/>
          <w:kern w:val="0"/>
          <w:sz w:val="32"/>
          <w:szCs w:val="28"/>
          <w:highlight w:val="none"/>
        </w:rPr>
        <w:t>；</w:t>
      </w:r>
    </w:p>
    <w:p>
      <w:pPr>
        <w:snapToGrid w:val="0"/>
        <w:spacing w:line="360" w:lineRule="auto"/>
        <w:ind w:firstLine="640"/>
        <w:jc w:val="both"/>
        <w:rPr>
          <w:rFonts w:ascii="仿宋_GB2312" w:hAnsi="仿宋_GB2312" w:eastAsia="仿宋_GB2312" w:cs="仿宋_GB2312"/>
          <w:color w:val="auto"/>
          <w:kern w:val="0"/>
          <w:sz w:val="32"/>
          <w:szCs w:val="28"/>
          <w:highlight w:val="none"/>
        </w:rPr>
      </w:pPr>
      <w:r>
        <w:rPr>
          <w:rFonts w:hint="eastAsia" w:ascii="仿宋_GB2312" w:hAnsi="仿宋_GB2312" w:eastAsia="仿宋_GB2312" w:cs="仿宋_GB2312"/>
          <w:color w:val="auto"/>
          <w:kern w:val="0"/>
          <w:sz w:val="32"/>
          <w:szCs w:val="28"/>
          <w:highlight w:val="none"/>
        </w:rPr>
        <w:t>资金用途：</w:t>
      </w:r>
      <w:r>
        <w:rPr>
          <w:rFonts w:hint="eastAsia" w:ascii="仿宋_GB2312" w:hAnsi="仿宋_GB2312" w:eastAsia="仿宋_GB2312" w:cs="仿宋_GB2312"/>
          <w:color w:val="auto"/>
          <w:kern w:val="0"/>
          <w:sz w:val="32"/>
          <w:szCs w:val="28"/>
          <w:highlight w:val="none"/>
          <w:u w:val="single"/>
        </w:rPr>
        <w:t xml:space="preserve">                                    </w:t>
      </w:r>
      <w:r>
        <w:rPr>
          <w:rFonts w:hint="eastAsia" w:ascii="仿宋_GB2312" w:hAnsi="仿宋_GB2312" w:eastAsia="仿宋_GB2312" w:cs="仿宋_GB2312"/>
          <w:color w:val="auto"/>
          <w:kern w:val="0"/>
          <w:sz w:val="32"/>
          <w:szCs w:val="28"/>
          <w:highlight w:val="none"/>
        </w:rPr>
        <w:t>;</w:t>
      </w:r>
    </w:p>
    <w:p>
      <w:pPr>
        <w:snapToGrid w:val="0"/>
        <w:spacing w:line="360" w:lineRule="auto"/>
        <w:ind w:firstLine="640"/>
        <w:jc w:val="both"/>
        <w:rPr>
          <w:rFonts w:ascii="仿宋_GB2312" w:hAnsi="仿宋_GB2312" w:eastAsia="仿宋_GB2312" w:cs="仿宋_GB2312"/>
          <w:color w:val="auto"/>
          <w:kern w:val="0"/>
          <w:sz w:val="32"/>
          <w:szCs w:val="28"/>
          <w:highlight w:val="none"/>
          <w:u w:val="single"/>
        </w:rPr>
      </w:pPr>
      <w:r>
        <w:rPr>
          <w:rFonts w:hint="eastAsia" w:ascii="仿宋_GB2312" w:hAnsi="仿宋_GB2312" w:eastAsia="仿宋_GB2312" w:cs="仿宋_GB2312"/>
          <w:color w:val="auto"/>
          <w:kern w:val="0"/>
          <w:sz w:val="32"/>
          <w:szCs w:val="28"/>
          <w:highlight w:val="none"/>
        </w:rPr>
        <w:t>审批计划（包括贷款发放分支机构名称、计划签订贷款合同日期、贷款发放日期等）：</w:t>
      </w:r>
      <w:r>
        <w:rPr>
          <w:rFonts w:hint="eastAsia" w:ascii="仿宋_GB2312" w:hAnsi="仿宋_GB2312" w:eastAsia="仿宋_GB2312" w:cs="仿宋_GB2312"/>
          <w:color w:val="auto"/>
          <w:kern w:val="0"/>
          <w:sz w:val="32"/>
          <w:szCs w:val="28"/>
          <w:highlight w:val="none"/>
          <w:u w:val="single"/>
        </w:rPr>
        <w:t xml:space="preserve">                        </w:t>
      </w:r>
    </w:p>
    <w:p>
      <w:pPr>
        <w:snapToGrid w:val="0"/>
        <w:spacing w:line="360" w:lineRule="auto"/>
        <w:jc w:val="both"/>
        <w:rPr>
          <w:rFonts w:ascii="仿宋_GB2312" w:hAnsi="仿宋_GB2312" w:eastAsia="仿宋_GB2312" w:cs="仿宋_GB2312"/>
          <w:color w:val="auto"/>
          <w:kern w:val="0"/>
          <w:sz w:val="32"/>
          <w:szCs w:val="28"/>
          <w:highlight w:val="none"/>
        </w:rPr>
      </w:pPr>
      <w:r>
        <w:rPr>
          <w:rFonts w:hint="eastAsia" w:ascii="仿宋_GB2312" w:hAnsi="仿宋_GB2312" w:eastAsia="仿宋_GB2312" w:cs="仿宋_GB2312"/>
          <w:color w:val="auto"/>
          <w:kern w:val="0"/>
          <w:sz w:val="32"/>
          <w:szCs w:val="28"/>
          <w:highlight w:val="none"/>
          <w:u w:val="single"/>
        </w:rPr>
        <w:t xml:space="preserve">                                                  </w:t>
      </w:r>
      <w:r>
        <w:rPr>
          <w:rFonts w:hint="eastAsia" w:ascii="仿宋_GB2312" w:hAnsi="仿宋_GB2312" w:eastAsia="仿宋_GB2312" w:cs="仿宋_GB2312"/>
          <w:color w:val="auto"/>
          <w:kern w:val="0"/>
          <w:sz w:val="32"/>
          <w:szCs w:val="28"/>
          <w:highlight w:val="none"/>
        </w:rPr>
        <w:t>。</w:t>
      </w:r>
    </w:p>
    <w:p>
      <w:pPr>
        <w:snapToGrid w:val="0"/>
        <w:spacing w:line="360" w:lineRule="auto"/>
        <w:jc w:val="both"/>
        <w:rPr>
          <w:rFonts w:ascii="仿宋_GB2312" w:hAnsi="仿宋_GB2312" w:eastAsia="仿宋_GB2312" w:cs="仿宋_GB2312"/>
          <w:color w:val="auto"/>
          <w:kern w:val="0"/>
          <w:sz w:val="32"/>
          <w:szCs w:val="28"/>
          <w:highlight w:val="none"/>
        </w:rPr>
      </w:pPr>
      <w:r>
        <w:rPr>
          <w:rFonts w:hint="eastAsia" w:ascii="仿宋_GB2312" w:hAnsi="仿宋_GB2312" w:eastAsia="仿宋_GB2312" w:cs="仿宋_GB2312"/>
          <w:color w:val="auto"/>
          <w:kern w:val="0"/>
          <w:sz w:val="32"/>
          <w:szCs w:val="28"/>
          <w:highlight w:val="none"/>
        </w:rPr>
        <w:t xml:space="preserve">    特此致函。</w:t>
      </w:r>
    </w:p>
    <w:p>
      <w:pPr>
        <w:snapToGrid w:val="0"/>
        <w:spacing w:line="360" w:lineRule="auto"/>
        <w:jc w:val="right"/>
        <w:rPr>
          <w:rFonts w:ascii="仿宋_GB2312" w:hAnsi="仿宋_GB2312" w:eastAsia="仿宋_GB2312" w:cs="仿宋_GB2312"/>
          <w:color w:val="auto"/>
          <w:kern w:val="0"/>
          <w:sz w:val="32"/>
          <w:szCs w:val="28"/>
          <w:highlight w:val="none"/>
        </w:rPr>
      </w:pPr>
      <w:r>
        <w:rPr>
          <w:rFonts w:hint="eastAsia" w:ascii="仿宋_GB2312" w:hAnsi="仿宋_GB2312" w:eastAsia="仿宋_GB2312" w:cs="仿宋_GB2312"/>
          <w:color w:val="auto"/>
          <w:kern w:val="0"/>
          <w:sz w:val="32"/>
          <w:szCs w:val="28"/>
          <w:highlight w:val="none"/>
        </w:rPr>
        <w:t xml:space="preserve">    银行          </w:t>
      </w:r>
    </w:p>
    <w:p>
      <w:pPr>
        <w:snapToGrid w:val="0"/>
        <w:spacing w:line="360" w:lineRule="auto"/>
        <w:ind w:firstLine="640"/>
        <w:jc w:val="right"/>
        <w:rPr>
          <w:rFonts w:ascii="仿宋_GB2312" w:hAnsi="仿宋_GB2312" w:eastAsia="仿宋_GB2312" w:cs="仿宋_GB2312"/>
          <w:color w:val="auto"/>
          <w:kern w:val="0"/>
          <w:sz w:val="32"/>
          <w:szCs w:val="28"/>
          <w:highlight w:val="none"/>
        </w:rPr>
      </w:pPr>
      <w:r>
        <w:rPr>
          <w:rFonts w:hint="eastAsia" w:ascii="仿宋_GB2312" w:hAnsi="仿宋_GB2312" w:eastAsia="仿宋_GB2312" w:cs="仿宋_GB2312"/>
          <w:color w:val="auto"/>
          <w:kern w:val="0"/>
          <w:sz w:val="32"/>
          <w:szCs w:val="28"/>
          <w:highlight w:val="none"/>
        </w:rPr>
        <w:t>年  月  日</w:t>
      </w:r>
    </w:p>
    <w:p>
      <w:pPr>
        <w:snapToGrid w:val="0"/>
        <w:spacing w:line="500" w:lineRule="exact"/>
        <w:jc w:val="both"/>
        <w:rPr>
          <w:rFonts w:ascii="Times New Roman" w:hAnsi="Times New Roman" w:eastAsia="黑体" w:cs="Times New Roman"/>
          <w:color w:val="auto"/>
          <w:sz w:val="32"/>
          <w:szCs w:val="32"/>
          <w:highlight w:val="none"/>
        </w:rPr>
      </w:pPr>
    </w:p>
    <w:p>
      <w:pPr>
        <w:snapToGrid w:val="0"/>
        <w:spacing w:line="500" w:lineRule="exact"/>
        <w:jc w:val="both"/>
        <w:rPr>
          <w:rFonts w:ascii="Times New Roman" w:hAnsi="Times New Roman" w:eastAsia="黑体" w:cs="Times New Roman"/>
          <w:color w:val="auto"/>
          <w:sz w:val="32"/>
          <w:szCs w:val="32"/>
          <w:highlight w:val="none"/>
        </w:rPr>
      </w:pPr>
    </w:p>
    <w:p>
      <w:pPr>
        <w:snapToGrid w:val="0"/>
        <w:spacing w:line="500" w:lineRule="exact"/>
        <w:jc w:val="both"/>
        <w:rPr>
          <w:rFonts w:ascii="Times New Roman" w:hAnsi="Times New Roman" w:eastAsia="黑体" w:cs="Times New Roman"/>
          <w:color w:val="auto"/>
          <w:sz w:val="32"/>
          <w:szCs w:val="32"/>
          <w:highlight w:val="none"/>
        </w:rPr>
      </w:pPr>
    </w:p>
    <w:p>
      <w:pPr>
        <w:snapToGrid w:val="0"/>
        <w:spacing w:line="500" w:lineRule="exact"/>
        <w:jc w:val="both"/>
        <w:rPr>
          <w:rFonts w:ascii="Times New Roman" w:hAnsi="Times New Roman" w:eastAsia="黑体" w:cs="Times New Roman"/>
          <w:color w:val="auto"/>
          <w:sz w:val="32"/>
          <w:szCs w:val="32"/>
          <w:highlight w:val="none"/>
        </w:rPr>
      </w:pPr>
    </w:p>
    <w:p>
      <w:pPr>
        <w:snapToGrid w:val="0"/>
        <w:spacing w:line="500" w:lineRule="exact"/>
        <w:jc w:val="both"/>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 xml:space="preserve">附件3    </w:t>
      </w:r>
    </w:p>
    <w:p>
      <w:pPr>
        <w:snapToGrid w:val="0"/>
        <w:spacing w:line="500" w:lineRule="exact"/>
        <w:jc w:val="both"/>
        <w:rPr>
          <w:rFonts w:ascii="Times New Roman" w:hAnsi="Times New Roman" w:eastAsia="黑体" w:cs="Times New Roman"/>
          <w:color w:val="auto"/>
          <w:sz w:val="32"/>
          <w:szCs w:val="32"/>
          <w:highlight w:val="none"/>
        </w:rPr>
      </w:pPr>
    </w:p>
    <w:p>
      <w:pPr>
        <w:snapToGrid w:val="0"/>
        <w:spacing w:line="480" w:lineRule="exact"/>
        <w:jc w:val="center"/>
        <w:rPr>
          <w:rFonts w:ascii="微软简标宋" w:hAnsi="Times New Roman" w:eastAsia="微软简标宋" w:cs="Times New Roman"/>
          <w:color w:val="auto"/>
          <w:sz w:val="44"/>
          <w:szCs w:val="44"/>
          <w:highlight w:val="none"/>
        </w:rPr>
      </w:pPr>
      <w:r>
        <w:rPr>
          <w:rFonts w:hint="eastAsia" w:ascii="微软简标宋" w:hAnsi="Times New Roman" w:eastAsia="微软简标宋" w:cs="Times New Roman"/>
          <w:color w:val="auto"/>
          <w:sz w:val="44"/>
          <w:szCs w:val="44"/>
          <w:highlight w:val="none"/>
        </w:rPr>
        <w:t>信贷业务贷款项目备案确认函</w:t>
      </w:r>
    </w:p>
    <w:p>
      <w:pPr>
        <w:snapToGrid w:val="0"/>
        <w:spacing w:line="360" w:lineRule="auto"/>
        <w:jc w:val="both"/>
        <w:rPr>
          <w:rFonts w:ascii="仿宋_GB2312" w:hAnsi="仿宋_GB2312" w:eastAsia="仿宋_GB2312" w:cs="仿宋_GB2312"/>
          <w:color w:val="auto"/>
          <w:kern w:val="0"/>
          <w:sz w:val="32"/>
          <w:szCs w:val="28"/>
          <w:highlight w:val="none"/>
        </w:rPr>
      </w:pPr>
    </w:p>
    <w:p>
      <w:pPr>
        <w:snapToGrid w:val="0"/>
        <w:spacing w:line="360" w:lineRule="auto"/>
        <w:jc w:val="both"/>
        <w:rPr>
          <w:rFonts w:ascii="仿宋_GB2312" w:hAnsi="仿宋_GB2312" w:eastAsia="仿宋_GB2312" w:cs="仿宋_GB2312"/>
          <w:color w:val="auto"/>
          <w:kern w:val="0"/>
          <w:sz w:val="32"/>
          <w:szCs w:val="28"/>
          <w:highlight w:val="none"/>
        </w:rPr>
      </w:pPr>
      <w:r>
        <w:rPr>
          <w:rFonts w:hint="eastAsia" w:ascii="仿宋_GB2312" w:hAnsi="仿宋_GB2312" w:eastAsia="仿宋_GB2312" w:cs="仿宋_GB2312"/>
          <w:color w:val="auto"/>
          <w:kern w:val="0"/>
          <w:sz w:val="32"/>
          <w:szCs w:val="28"/>
          <w:highlight w:val="none"/>
          <w:u w:val="single"/>
        </w:rPr>
        <w:t xml:space="preserve">    </w:t>
      </w:r>
      <w:r>
        <w:rPr>
          <w:rFonts w:hint="eastAsia" w:ascii="仿宋_GB2312" w:hAnsi="仿宋_GB2312" w:eastAsia="仿宋_GB2312" w:cs="仿宋_GB2312"/>
          <w:color w:val="auto"/>
          <w:kern w:val="0"/>
          <w:sz w:val="32"/>
          <w:szCs w:val="28"/>
          <w:highlight w:val="none"/>
        </w:rPr>
        <w:t>银行：</w:t>
      </w:r>
    </w:p>
    <w:p>
      <w:pPr>
        <w:snapToGrid w:val="0"/>
        <w:spacing w:line="360" w:lineRule="auto"/>
        <w:ind w:firstLine="640"/>
        <w:jc w:val="both"/>
        <w:rPr>
          <w:rFonts w:ascii="仿宋_GB2312" w:hAnsi="仿宋_GB2312" w:eastAsia="仿宋_GB2312" w:cs="仿宋_GB2312"/>
          <w:color w:val="auto"/>
          <w:kern w:val="0"/>
          <w:sz w:val="32"/>
          <w:szCs w:val="28"/>
          <w:highlight w:val="none"/>
        </w:rPr>
      </w:pPr>
      <w:r>
        <w:rPr>
          <w:rFonts w:hint="eastAsia" w:ascii="仿宋_GB2312" w:hAnsi="仿宋_GB2312" w:eastAsia="仿宋_GB2312" w:cs="仿宋_GB2312"/>
          <w:color w:val="auto"/>
          <w:kern w:val="0"/>
          <w:sz w:val="32"/>
          <w:szCs w:val="28"/>
          <w:highlight w:val="none"/>
        </w:rPr>
        <w:t>贵行的《</w:t>
      </w:r>
      <w:r>
        <w:rPr>
          <w:rFonts w:hint="eastAsia" w:ascii="Times New Roman" w:hAnsi="Times New Roman" w:eastAsia="仿宋_GB2312" w:cs="Times New Roman"/>
          <w:snapToGrid w:val="0"/>
          <w:color w:val="auto"/>
          <w:spacing w:val="6"/>
          <w:kern w:val="0"/>
          <w:sz w:val="32"/>
          <w:szCs w:val="32"/>
          <w:highlight w:val="none"/>
        </w:rPr>
        <w:t>信贷业务贷款项目备案申请函</w:t>
      </w:r>
      <w:r>
        <w:rPr>
          <w:rFonts w:hint="eastAsia" w:ascii="仿宋_GB2312" w:hAnsi="仿宋_GB2312" w:eastAsia="仿宋_GB2312" w:cs="仿宋_GB2312"/>
          <w:color w:val="auto"/>
          <w:kern w:val="0"/>
          <w:sz w:val="32"/>
          <w:szCs w:val="28"/>
          <w:highlight w:val="none"/>
        </w:rPr>
        <w:t>》已收悉。</w:t>
      </w:r>
    </w:p>
    <w:p>
      <w:pPr>
        <w:snapToGrid w:val="0"/>
        <w:spacing w:line="360" w:lineRule="auto"/>
        <w:ind w:firstLine="640"/>
        <w:jc w:val="both"/>
        <w:rPr>
          <w:rFonts w:ascii="仿宋_GB2312" w:hAnsi="仿宋_GB2312" w:eastAsia="仿宋_GB2312" w:cs="仿宋_GB2312"/>
          <w:color w:val="auto"/>
          <w:kern w:val="0"/>
          <w:sz w:val="32"/>
          <w:szCs w:val="28"/>
          <w:highlight w:val="none"/>
        </w:rPr>
      </w:pPr>
      <w:r>
        <w:rPr>
          <w:rFonts w:hint="eastAsia" w:ascii="仿宋_GB2312" w:hAnsi="仿宋_GB2312" w:eastAsia="仿宋_GB2312" w:cs="仿宋_GB2312"/>
          <w:color w:val="auto"/>
          <w:kern w:val="0"/>
          <w:sz w:val="32"/>
          <w:szCs w:val="28"/>
          <w:highlight w:val="none"/>
        </w:rPr>
        <w:t>经</w:t>
      </w:r>
      <w:r>
        <w:rPr>
          <w:rFonts w:hint="eastAsia" w:ascii="仿宋_GB2312" w:hAnsi="仿宋_GB2312" w:eastAsia="仿宋_GB2312" w:cs="仿宋_GB2312"/>
          <w:color w:val="auto"/>
          <w:kern w:val="0"/>
          <w:sz w:val="32"/>
          <w:szCs w:val="28"/>
          <w:highlight w:val="none"/>
          <w:lang w:val="en-US" w:eastAsia="zh-CN"/>
        </w:rPr>
        <w:t>形式</w:t>
      </w:r>
      <w:r>
        <w:rPr>
          <w:rFonts w:hint="eastAsia" w:ascii="仿宋_GB2312" w:hAnsi="仿宋_GB2312" w:eastAsia="仿宋_GB2312" w:cs="仿宋_GB2312"/>
          <w:color w:val="auto"/>
          <w:kern w:val="0"/>
          <w:sz w:val="32"/>
          <w:szCs w:val="28"/>
          <w:highlight w:val="none"/>
        </w:rPr>
        <w:t>审核，</w:t>
      </w:r>
      <w:r>
        <w:rPr>
          <w:rFonts w:hint="eastAsia" w:ascii="仿宋_GB2312" w:hAnsi="仿宋_GB2312" w:eastAsia="仿宋_GB2312" w:cs="仿宋_GB2312"/>
          <w:color w:val="auto"/>
          <w:kern w:val="0"/>
          <w:sz w:val="32"/>
          <w:szCs w:val="28"/>
          <w:highlight w:val="none"/>
          <w:u w:val="single"/>
        </w:rPr>
        <w:t xml:space="preserve">                                 </w:t>
      </w:r>
      <w:r>
        <w:rPr>
          <w:rFonts w:hint="eastAsia" w:ascii="仿宋_GB2312" w:hAnsi="仿宋_GB2312" w:eastAsia="仿宋_GB2312" w:cs="仿宋_GB2312"/>
          <w:color w:val="auto"/>
          <w:kern w:val="0"/>
          <w:sz w:val="32"/>
          <w:szCs w:val="28"/>
          <w:highlight w:val="none"/>
        </w:rPr>
        <w:t>（企业名称）为《</w:t>
      </w:r>
      <w:r>
        <w:rPr>
          <w:rFonts w:hint="eastAsia" w:ascii="仿宋_GB2312" w:hAnsi="仿宋_GB2312" w:eastAsia="仿宋_GB2312" w:cs="仿宋_GB2312"/>
          <w:color w:val="auto"/>
          <w:kern w:val="0"/>
          <w:sz w:val="32"/>
          <w:szCs w:val="28"/>
          <w:highlight w:val="none"/>
          <w:lang w:val="en-US" w:eastAsia="zh-CN"/>
        </w:rPr>
        <w:t>培育库</w:t>
      </w:r>
      <w:r>
        <w:rPr>
          <w:rFonts w:hint="eastAsia" w:ascii="仿宋_GB2312" w:hAnsi="仿宋_GB2312" w:eastAsia="仿宋_GB2312" w:cs="仿宋_GB2312"/>
          <w:color w:val="auto"/>
          <w:kern w:val="0"/>
          <w:sz w:val="32"/>
          <w:szCs w:val="28"/>
          <w:highlight w:val="none"/>
        </w:rPr>
        <w:t>》内企业，目前已备案信贷业务贷款项目</w:t>
      </w:r>
      <w:r>
        <w:rPr>
          <w:rFonts w:hint="eastAsia" w:ascii="仿宋_GB2312" w:hAnsi="仿宋_GB2312" w:eastAsia="仿宋_GB2312" w:cs="仿宋_GB2312"/>
          <w:color w:val="auto"/>
          <w:kern w:val="0"/>
          <w:sz w:val="32"/>
          <w:szCs w:val="28"/>
          <w:highlight w:val="none"/>
          <w:u w:val="single"/>
        </w:rPr>
        <w:t xml:space="preserve">  </w:t>
      </w:r>
      <w:r>
        <w:rPr>
          <w:rFonts w:hint="eastAsia" w:ascii="仿宋_GB2312" w:hAnsi="仿宋_GB2312" w:eastAsia="仿宋_GB2312" w:cs="仿宋_GB2312"/>
          <w:color w:val="auto"/>
          <w:kern w:val="0"/>
          <w:sz w:val="32"/>
          <w:szCs w:val="28"/>
          <w:highlight w:val="none"/>
        </w:rPr>
        <w:t>次，金额累计</w:t>
      </w:r>
      <w:r>
        <w:rPr>
          <w:rFonts w:hint="eastAsia" w:ascii="仿宋_GB2312" w:hAnsi="仿宋_GB2312" w:eastAsia="仿宋_GB2312" w:cs="仿宋_GB2312"/>
          <w:color w:val="auto"/>
          <w:kern w:val="0"/>
          <w:sz w:val="32"/>
          <w:szCs w:val="28"/>
          <w:highlight w:val="none"/>
          <w:u w:val="single"/>
        </w:rPr>
        <w:t xml:space="preserve">      </w:t>
      </w:r>
      <w:r>
        <w:rPr>
          <w:rFonts w:hint="eastAsia" w:ascii="仿宋_GB2312" w:hAnsi="仿宋_GB2312" w:eastAsia="仿宋_GB2312" w:cs="仿宋_GB2312"/>
          <w:color w:val="auto"/>
          <w:kern w:val="0"/>
          <w:sz w:val="32"/>
          <w:szCs w:val="28"/>
          <w:highlight w:val="none"/>
        </w:rPr>
        <w:t>万元。该企业还可备案信贷业务贷款项目</w:t>
      </w:r>
      <w:r>
        <w:rPr>
          <w:rFonts w:hint="eastAsia" w:ascii="仿宋_GB2312" w:hAnsi="仿宋_GB2312" w:eastAsia="仿宋_GB2312" w:cs="仿宋_GB2312"/>
          <w:color w:val="auto"/>
          <w:kern w:val="0"/>
          <w:sz w:val="32"/>
          <w:szCs w:val="28"/>
          <w:highlight w:val="none"/>
          <w:u w:val="single"/>
        </w:rPr>
        <w:t xml:space="preserve">  </w:t>
      </w:r>
      <w:r>
        <w:rPr>
          <w:rFonts w:hint="eastAsia" w:ascii="仿宋_GB2312" w:hAnsi="仿宋_GB2312" w:eastAsia="仿宋_GB2312" w:cs="仿宋_GB2312"/>
          <w:color w:val="auto"/>
          <w:kern w:val="0"/>
          <w:sz w:val="32"/>
          <w:szCs w:val="28"/>
          <w:highlight w:val="none"/>
        </w:rPr>
        <w:t>次，金额</w:t>
      </w:r>
      <w:r>
        <w:rPr>
          <w:rFonts w:hint="eastAsia" w:ascii="仿宋_GB2312" w:hAnsi="仿宋_GB2312" w:eastAsia="仿宋_GB2312" w:cs="仿宋_GB2312"/>
          <w:color w:val="auto"/>
          <w:kern w:val="0"/>
          <w:sz w:val="32"/>
          <w:szCs w:val="28"/>
          <w:highlight w:val="none"/>
          <w:u w:val="single"/>
        </w:rPr>
        <w:t xml:space="preserve">      </w:t>
      </w:r>
      <w:r>
        <w:rPr>
          <w:rFonts w:hint="eastAsia" w:ascii="仿宋_GB2312" w:hAnsi="仿宋_GB2312" w:eastAsia="仿宋_GB2312" w:cs="仿宋_GB2312"/>
          <w:color w:val="auto"/>
          <w:kern w:val="0"/>
          <w:sz w:val="32"/>
          <w:szCs w:val="28"/>
          <w:highlight w:val="none"/>
        </w:rPr>
        <w:t xml:space="preserve">万元。        </w:t>
      </w:r>
    </w:p>
    <w:p>
      <w:pPr>
        <w:snapToGrid w:val="0"/>
        <w:spacing w:line="360" w:lineRule="auto"/>
        <w:ind w:firstLine="640"/>
        <w:jc w:val="both"/>
        <w:rPr>
          <w:rFonts w:hint="eastAsia" w:ascii="仿宋_GB2312" w:hAnsi="仿宋_GB2312" w:eastAsia="仿宋_GB2312" w:cs="仿宋_GB2312"/>
          <w:color w:val="auto"/>
          <w:kern w:val="0"/>
          <w:sz w:val="32"/>
          <w:szCs w:val="28"/>
          <w:highlight w:val="none"/>
        </w:rPr>
      </w:pPr>
      <w:r>
        <w:rPr>
          <w:rFonts w:hint="eastAsia" w:ascii="仿宋_GB2312" w:hAnsi="仿宋_GB2312" w:eastAsia="仿宋_GB2312" w:cs="仿宋_GB2312"/>
          <w:color w:val="auto"/>
          <w:kern w:val="0"/>
          <w:sz w:val="32"/>
          <w:szCs w:val="28"/>
          <w:highlight w:val="none"/>
          <w:lang w:val="en-US" w:eastAsia="zh-CN"/>
        </w:rPr>
        <w:t>在假设提供的资料真实、完整的基础上，</w:t>
      </w:r>
      <w:r>
        <w:rPr>
          <w:rFonts w:hint="eastAsia" w:ascii="仿宋_GB2312" w:hAnsi="仿宋_GB2312" w:eastAsia="仿宋_GB2312" w:cs="仿宋_GB2312"/>
          <w:color w:val="auto"/>
          <w:kern w:val="0"/>
          <w:sz w:val="32"/>
          <w:szCs w:val="28"/>
          <w:highlight w:val="none"/>
        </w:rPr>
        <w:t>根据《</w:t>
      </w:r>
      <w:r>
        <w:rPr>
          <w:rFonts w:hint="eastAsia" w:ascii="仿宋_GB2312" w:hAnsi="仿宋_GB2312" w:eastAsia="仿宋_GB2312" w:cs="仿宋_GB2312"/>
          <w:color w:val="auto"/>
          <w:kern w:val="0"/>
          <w:sz w:val="32"/>
          <w:szCs w:val="28"/>
          <w:highlight w:val="none"/>
          <w:lang w:val="en-US" w:eastAsia="zh-CN"/>
        </w:rPr>
        <w:t>中山火炬开发区</w:t>
      </w:r>
      <w:r>
        <w:rPr>
          <w:rFonts w:hint="eastAsia" w:ascii="仿宋_GB2312" w:hAnsi="仿宋_GB2312" w:eastAsia="仿宋_GB2312" w:cs="仿宋_GB2312"/>
          <w:color w:val="auto"/>
          <w:kern w:val="0"/>
          <w:sz w:val="32"/>
          <w:szCs w:val="28"/>
          <w:highlight w:val="none"/>
        </w:rPr>
        <w:t>高成长企业信贷风险补偿金操作指引》，同意办理</w:t>
      </w:r>
      <w:r>
        <w:rPr>
          <w:rFonts w:hint="eastAsia" w:ascii="仿宋_GB2312" w:hAnsi="仿宋_GB2312" w:eastAsia="仿宋_GB2312" w:cs="仿宋_GB2312"/>
          <w:color w:val="auto"/>
          <w:kern w:val="0"/>
          <w:sz w:val="32"/>
          <w:szCs w:val="28"/>
          <w:highlight w:val="none"/>
          <w:u w:val="single"/>
        </w:rPr>
        <w:t xml:space="preserve">                                 </w:t>
      </w:r>
      <w:r>
        <w:rPr>
          <w:rFonts w:hint="eastAsia" w:ascii="仿宋_GB2312" w:hAnsi="仿宋_GB2312" w:eastAsia="仿宋_GB2312" w:cs="仿宋_GB2312"/>
          <w:color w:val="auto"/>
          <w:kern w:val="0"/>
          <w:sz w:val="32"/>
          <w:szCs w:val="28"/>
          <w:highlight w:val="none"/>
        </w:rPr>
        <w:t>（企业名称）的信贷业务备案，本次备案贷款额度为</w:t>
      </w:r>
      <w:r>
        <w:rPr>
          <w:rFonts w:hint="eastAsia" w:ascii="仿宋_GB2312" w:hAnsi="仿宋_GB2312" w:eastAsia="仿宋_GB2312" w:cs="仿宋_GB2312"/>
          <w:color w:val="auto"/>
          <w:kern w:val="0"/>
          <w:sz w:val="32"/>
          <w:szCs w:val="28"/>
          <w:highlight w:val="none"/>
          <w:u w:val="single"/>
        </w:rPr>
        <w:t xml:space="preserve">     </w:t>
      </w:r>
      <w:r>
        <w:rPr>
          <w:rFonts w:hint="eastAsia" w:ascii="仿宋_GB2312" w:hAnsi="仿宋_GB2312" w:eastAsia="仿宋_GB2312" w:cs="仿宋_GB2312"/>
          <w:color w:val="auto"/>
          <w:kern w:val="0"/>
          <w:sz w:val="32"/>
          <w:szCs w:val="28"/>
          <w:highlight w:val="none"/>
        </w:rPr>
        <w:t>万元。</w:t>
      </w:r>
    </w:p>
    <w:p>
      <w:pPr>
        <w:snapToGrid w:val="0"/>
        <w:spacing w:line="360" w:lineRule="auto"/>
        <w:ind w:firstLine="640"/>
        <w:jc w:val="both"/>
        <w:rPr>
          <w:rFonts w:hint="eastAsia" w:ascii="仿宋_GB2312" w:hAnsi="仿宋_GB2312" w:eastAsia="仿宋_GB2312" w:cs="仿宋_GB2312"/>
          <w:color w:val="auto"/>
          <w:kern w:val="0"/>
          <w:sz w:val="32"/>
          <w:szCs w:val="28"/>
          <w:highlight w:val="none"/>
          <w:lang w:val="en-US" w:eastAsia="zh-CN"/>
        </w:rPr>
      </w:pPr>
      <w:r>
        <w:rPr>
          <w:rFonts w:hint="eastAsia" w:ascii="仿宋_GB2312" w:hAnsi="仿宋_GB2312" w:eastAsia="仿宋_GB2312" w:cs="仿宋_GB2312"/>
          <w:color w:val="auto"/>
          <w:kern w:val="0"/>
          <w:sz w:val="32"/>
          <w:szCs w:val="28"/>
          <w:highlight w:val="none"/>
          <w:lang w:val="en-US" w:eastAsia="zh-CN"/>
        </w:rPr>
        <w:t>若存在资料不真实、完整、有效，该笔贷款将不得享受风险补偿和贴息。</w:t>
      </w:r>
    </w:p>
    <w:p>
      <w:pPr>
        <w:snapToGrid w:val="0"/>
        <w:spacing w:line="360" w:lineRule="auto"/>
        <w:ind w:firstLine="640"/>
        <w:jc w:val="both"/>
        <w:rPr>
          <w:rFonts w:ascii="仿宋_GB2312" w:hAnsi="仿宋_GB2312" w:eastAsia="仿宋_GB2312" w:cs="仿宋_GB2312"/>
          <w:color w:val="auto"/>
          <w:kern w:val="0"/>
          <w:sz w:val="32"/>
          <w:szCs w:val="28"/>
          <w:highlight w:val="none"/>
        </w:rPr>
      </w:pPr>
      <w:r>
        <w:rPr>
          <w:rFonts w:hint="eastAsia" w:ascii="仿宋_GB2312" w:hAnsi="仿宋_GB2312" w:eastAsia="仿宋_GB2312" w:cs="仿宋_GB2312"/>
          <w:color w:val="auto"/>
          <w:kern w:val="0"/>
          <w:sz w:val="32"/>
          <w:szCs w:val="28"/>
          <w:highlight w:val="none"/>
        </w:rPr>
        <w:t>特此函复。</w:t>
      </w:r>
    </w:p>
    <w:p>
      <w:pPr>
        <w:snapToGrid w:val="0"/>
        <w:spacing w:line="360" w:lineRule="auto"/>
        <w:jc w:val="both"/>
        <w:rPr>
          <w:rFonts w:ascii="仿宋_GB2312" w:hAnsi="仿宋_GB2312" w:eastAsia="仿宋_GB2312" w:cs="仿宋_GB2312"/>
          <w:color w:val="auto"/>
          <w:kern w:val="0"/>
          <w:sz w:val="32"/>
          <w:szCs w:val="28"/>
          <w:highlight w:val="none"/>
        </w:rPr>
      </w:pPr>
    </w:p>
    <w:p>
      <w:pPr>
        <w:snapToGrid w:val="0"/>
        <w:spacing w:line="360" w:lineRule="auto"/>
        <w:jc w:val="right"/>
        <w:rPr>
          <w:rFonts w:ascii="仿宋_GB2312" w:hAnsi="仿宋_GB2312" w:eastAsia="仿宋_GB2312" w:cs="仿宋_GB2312"/>
          <w:color w:val="auto"/>
          <w:kern w:val="0"/>
          <w:sz w:val="32"/>
          <w:szCs w:val="28"/>
          <w:highlight w:val="none"/>
        </w:rPr>
      </w:pPr>
      <w:r>
        <w:rPr>
          <w:rFonts w:hint="eastAsia" w:ascii="仿宋_GB2312" w:hAnsi="仿宋_GB2312" w:eastAsia="仿宋_GB2312" w:cs="仿宋_GB2312"/>
          <w:color w:val="auto"/>
          <w:kern w:val="0"/>
          <w:sz w:val="32"/>
          <w:szCs w:val="28"/>
          <w:highlight w:val="none"/>
        </w:rPr>
        <w:t>中山火炬开发区科技金融综合服务中心</w:t>
      </w:r>
    </w:p>
    <w:p>
      <w:pPr>
        <w:snapToGrid w:val="0"/>
        <w:spacing w:line="360" w:lineRule="auto"/>
        <w:ind w:firstLine="640"/>
        <w:jc w:val="right"/>
        <w:rPr>
          <w:rFonts w:ascii="仿宋_GB2312" w:hAnsi="仿宋_GB2312" w:eastAsia="仿宋_GB2312" w:cs="仿宋_GB2312"/>
          <w:color w:val="auto"/>
          <w:kern w:val="0"/>
          <w:sz w:val="32"/>
          <w:szCs w:val="28"/>
          <w:highlight w:val="none"/>
        </w:rPr>
      </w:pPr>
      <w:r>
        <w:rPr>
          <w:rFonts w:hint="eastAsia" w:ascii="仿宋_GB2312" w:hAnsi="仿宋_GB2312" w:eastAsia="仿宋_GB2312" w:cs="仿宋_GB2312"/>
          <w:color w:val="auto"/>
          <w:kern w:val="0"/>
          <w:sz w:val="32"/>
          <w:szCs w:val="28"/>
          <w:highlight w:val="none"/>
        </w:rPr>
        <w:t xml:space="preserve">                      年  月  日</w:t>
      </w:r>
    </w:p>
    <w:p>
      <w:pPr>
        <w:snapToGrid w:val="0"/>
        <w:spacing w:line="360" w:lineRule="auto"/>
        <w:jc w:val="both"/>
        <w:rPr>
          <w:rFonts w:ascii="仿宋_GB2312" w:hAnsi="仿宋_GB2312" w:eastAsia="仿宋_GB2312" w:cs="仿宋_GB2312"/>
          <w:color w:val="auto"/>
          <w:kern w:val="0"/>
          <w:sz w:val="32"/>
          <w:szCs w:val="28"/>
          <w:highlight w:val="none"/>
        </w:rPr>
      </w:pPr>
    </w:p>
    <w:p>
      <w:pPr>
        <w:snapToGrid w:val="0"/>
        <w:spacing w:line="480" w:lineRule="exact"/>
        <w:jc w:val="both"/>
        <w:rPr>
          <w:rFonts w:ascii="Times New Roman" w:hAnsi="Times New Roman" w:eastAsia="黑体" w:cs="Times New Roman"/>
          <w:color w:val="auto"/>
          <w:sz w:val="32"/>
          <w:szCs w:val="32"/>
          <w:highlight w:val="none"/>
        </w:rPr>
      </w:pPr>
    </w:p>
    <w:p>
      <w:pPr>
        <w:snapToGrid w:val="0"/>
        <w:spacing w:line="480" w:lineRule="exact"/>
        <w:jc w:val="both"/>
        <w:rPr>
          <w:rFonts w:ascii="Times New Roman" w:hAnsi="Times New Roman" w:eastAsia="黑体" w:cs="Times New Roman"/>
          <w:color w:val="auto"/>
          <w:sz w:val="32"/>
          <w:szCs w:val="32"/>
          <w:highlight w:val="none"/>
        </w:rPr>
      </w:pPr>
    </w:p>
    <w:p>
      <w:pPr>
        <w:snapToGrid w:val="0"/>
        <w:spacing w:line="480" w:lineRule="exact"/>
        <w:jc w:val="both"/>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 xml:space="preserve">附件4  </w:t>
      </w:r>
    </w:p>
    <w:p>
      <w:pPr>
        <w:snapToGrid w:val="0"/>
        <w:spacing w:line="480" w:lineRule="exact"/>
        <w:jc w:val="both"/>
        <w:rPr>
          <w:rFonts w:ascii="Times New Roman" w:hAnsi="Times New Roman" w:eastAsia="黑体" w:cs="Times New Roman"/>
          <w:color w:val="auto"/>
          <w:sz w:val="32"/>
          <w:szCs w:val="32"/>
          <w:highlight w:val="none"/>
        </w:rPr>
      </w:pPr>
    </w:p>
    <w:p>
      <w:pPr>
        <w:snapToGrid w:val="0"/>
        <w:spacing w:line="480" w:lineRule="exact"/>
        <w:jc w:val="center"/>
        <w:rPr>
          <w:rFonts w:ascii="微软简标宋" w:hAnsi="Times New Roman" w:eastAsia="微软简标宋" w:cs="Times New Roman"/>
          <w:color w:val="auto"/>
          <w:sz w:val="44"/>
          <w:szCs w:val="44"/>
          <w:highlight w:val="none"/>
        </w:rPr>
      </w:pPr>
      <w:r>
        <w:rPr>
          <w:rFonts w:hint="eastAsia" w:ascii="微软简标宋" w:hAnsi="Times New Roman" w:eastAsia="微软简标宋" w:cs="Times New Roman"/>
          <w:color w:val="auto"/>
          <w:sz w:val="44"/>
          <w:szCs w:val="44"/>
          <w:highlight w:val="none"/>
        </w:rPr>
        <w:t>中山火炬开发区信贷实际贷款项目表</w:t>
      </w:r>
    </w:p>
    <w:p>
      <w:pPr>
        <w:snapToGrid w:val="0"/>
        <w:spacing w:line="480" w:lineRule="exact"/>
        <w:jc w:val="both"/>
        <w:rPr>
          <w:rFonts w:ascii="微软简标宋" w:hAnsi="Times New Roman" w:eastAsia="微软简标宋" w:cs="Times New Roman"/>
          <w:color w:val="auto"/>
          <w:sz w:val="44"/>
          <w:szCs w:val="44"/>
          <w:highlight w:val="none"/>
        </w:rPr>
      </w:pPr>
    </w:p>
    <w:tbl>
      <w:tblPr>
        <w:tblStyle w:val="6"/>
        <w:tblW w:w="9315" w:type="dxa"/>
        <w:tblInd w:w="-6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885"/>
        <w:gridCol w:w="705"/>
        <w:gridCol w:w="1095"/>
        <w:gridCol w:w="945"/>
        <w:gridCol w:w="825"/>
        <w:gridCol w:w="735"/>
        <w:gridCol w:w="795"/>
        <w:gridCol w:w="405"/>
        <w:gridCol w:w="720"/>
        <w:gridCol w:w="51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465" w:type="dxa"/>
            <w:tcBorders>
              <w:top w:val="single" w:color="auto" w:sz="4" w:space="0"/>
              <w:left w:val="single" w:color="auto" w:sz="4" w:space="0"/>
              <w:bottom w:val="single" w:color="auto" w:sz="4" w:space="0"/>
              <w:right w:val="single" w:color="auto" w:sz="4" w:space="0"/>
            </w:tcBorders>
            <w:vAlign w:val="center"/>
          </w:tcPr>
          <w:p>
            <w:pPr>
              <w:widowControl/>
              <w:jc w:val="both"/>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序号</w:t>
            </w:r>
          </w:p>
        </w:tc>
        <w:tc>
          <w:tcPr>
            <w:tcW w:w="885" w:type="dxa"/>
            <w:tcBorders>
              <w:top w:val="single" w:color="auto" w:sz="4" w:space="0"/>
              <w:left w:val="single" w:color="auto" w:sz="4" w:space="0"/>
              <w:bottom w:val="single" w:color="auto" w:sz="4" w:space="0"/>
              <w:right w:val="single" w:color="auto" w:sz="4" w:space="0"/>
            </w:tcBorders>
            <w:vAlign w:val="center"/>
          </w:tcPr>
          <w:p>
            <w:pPr>
              <w:widowControl/>
              <w:jc w:val="both"/>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企业名称</w:t>
            </w: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both"/>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合作银行</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both"/>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已放款金额</w:t>
            </w:r>
          </w:p>
          <w:p>
            <w:pPr>
              <w:widowControl/>
              <w:spacing w:line="240" w:lineRule="atLeast"/>
              <w:jc w:val="both"/>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（万元）</w:t>
            </w: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both"/>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贷款</w:t>
            </w:r>
          </w:p>
          <w:p>
            <w:pPr>
              <w:widowControl/>
              <w:spacing w:line="240" w:lineRule="atLeast"/>
              <w:jc w:val="both"/>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年利</w:t>
            </w:r>
            <w:r>
              <w:rPr>
                <w:rFonts w:hint="eastAsia" w:ascii="Times New Roman" w:hAnsi="Times New Roman" w:eastAsia="仿宋_GB2312" w:cs="Times New Roman"/>
                <w:color w:val="auto"/>
                <w:kern w:val="0"/>
                <w:sz w:val="24"/>
                <w:szCs w:val="24"/>
                <w:highlight w:val="none"/>
              </w:rPr>
              <w:t>率</w:t>
            </w:r>
            <w:r>
              <w:rPr>
                <w:rFonts w:ascii="Times New Roman" w:hAnsi="Times New Roman" w:eastAsia="仿宋_GB2312" w:cs="Times New Roman"/>
                <w:color w:val="auto"/>
                <w:kern w:val="0"/>
                <w:sz w:val="24"/>
                <w:szCs w:val="24"/>
                <w:highlight w:val="none"/>
              </w:rPr>
              <w:t>（％）</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both"/>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贷款期限（年）</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both"/>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发放日期</w:t>
            </w:r>
          </w:p>
        </w:tc>
        <w:tc>
          <w:tcPr>
            <w:tcW w:w="79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both"/>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到期日期</w:t>
            </w:r>
          </w:p>
        </w:tc>
        <w:tc>
          <w:tcPr>
            <w:tcW w:w="40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both"/>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用途</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both"/>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偿还记录</w:t>
            </w:r>
          </w:p>
        </w:tc>
        <w:tc>
          <w:tcPr>
            <w:tcW w:w="51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both"/>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分摊类别</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both"/>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风险分摊金额</w:t>
            </w:r>
          </w:p>
          <w:p>
            <w:pPr>
              <w:widowControl/>
              <w:spacing w:line="240" w:lineRule="atLeast"/>
              <w:jc w:val="both"/>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46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1</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p>
            <w:pPr>
              <w:widowControl/>
              <w:spacing w:line="360" w:lineRule="auto"/>
              <w:jc w:val="both"/>
              <w:rPr>
                <w:rFonts w:ascii="Times New Roman" w:hAnsi="Times New Roman" w:cs="Times New Roman"/>
                <w:color w:val="auto"/>
                <w:kern w:val="0"/>
                <w:sz w:val="32"/>
                <w:szCs w:val="32"/>
                <w:highlight w:val="none"/>
              </w:rPr>
            </w:pPr>
          </w:p>
          <w:p>
            <w:pPr>
              <w:widowControl/>
              <w:spacing w:line="360" w:lineRule="auto"/>
              <w:jc w:val="both"/>
              <w:rPr>
                <w:rFonts w:ascii="Times New Roman" w:hAnsi="Times New Roman" w:cs="Times New Roman"/>
                <w:color w:val="auto"/>
                <w:kern w:val="0"/>
                <w:sz w:val="32"/>
                <w:szCs w:val="32"/>
                <w:highlight w:val="none"/>
              </w:rPr>
            </w:pPr>
          </w:p>
          <w:p>
            <w:pPr>
              <w:widowControl/>
              <w:spacing w:line="360" w:lineRule="auto"/>
              <w:jc w:val="both"/>
              <w:rPr>
                <w:rFonts w:ascii="Times New Roman" w:hAnsi="Times New Roman" w:cs="Times New Roman"/>
                <w:color w:val="auto"/>
                <w:kern w:val="0"/>
                <w:sz w:val="32"/>
                <w:szCs w:val="32"/>
                <w:highlight w:val="none"/>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1095"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p>
            <w:pPr>
              <w:widowControl/>
              <w:spacing w:line="360" w:lineRule="auto"/>
              <w:jc w:val="both"/>
              <w:rPr>
                <w:rFonts w:ascii="Times New Roman" w:hAnsi="Times New Roman" w:cs="Times New Roman"/>
                <w:color w:val="auto"/>
                <w:kern w:val="0"/>
                <w:sz w:val="32"/>
                <w:szCs w:val="32"/>
                <w:highlight w:val="none"/>
              </w:rPr>
            </w:pP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7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405"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510"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c>
          <w:tcPr>
            <w:tcW w:w="1230"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46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2</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1095"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7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405"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510"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c>
          <w:tcPr>
            <w:tcW w:w="1230"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46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3</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1095"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7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405"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510"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c>
          <w:tcPr>
            <w:tcW w:w="1230"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46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4</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1095"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7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405"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510"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c>
          <w:tcPr>
            <w:tcW w:w="1230"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46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5</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1095"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7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405"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510"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c>
          <w:tcPr>
            <w:tcW w:w="1230"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46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6</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1095"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7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405"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510"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c>
          <w:tcPr>
            <w:tcW w:w="1230"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46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7</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1095"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7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405"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510"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c>
          <w:tcPr>
            <w:tcW w:w="1230"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46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8</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1095"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7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405"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510"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c>
          <w:tcPr>
            <w:tcW w:w="1230"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46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9</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1095"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7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405"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510"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c>
          <w:tcPr>
            <w:tcW w:w="1230"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46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10</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1095"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8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7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405"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ascii="Times New Roman" w:hAnsi="Times New Roman" w:cs="Times New Roman"/>
                <w:color w:val="auto"/>
                <w:kern w:val="0"/>
                <w:sz w:val="32"/>
                <w:szCs w:val="32"/>
                <w:highlight w:val="none"/>
              </w:rPr>
            </w:pPr>
          </w:p>
        </w:tc>
        <w:tc>
          <w:tcPr>
            <w:tcW w:w="510"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c>
          <w:tcPr>
            <w:tcW w:w="1230" w:type="dxa"/>
            <w:tcBorders>
              <w:top w:val="single" w:color="auto" w:sz="4" w:space="0"/>
              <w:left w:val="single" w:color="auto" w:sz="4" w:space="0"/>
              <w:bottom w:val="single" w:color="auto" w:sz="4" w:space="0"/>
              <w:right w:val="single" w:color="auto" w:sz="4" w:space="0"/>
            </w:tcBorders>
          </w:tcPr>
          <w:p>
            <w:pPr>
              <w:widowControl/>
              <w:spacing w:line="360" w:lineRule="auto"/>
              <w:jc w:val="both"/>
              <w:rPr>
                <w:rFonts w:ascii="Times New Roman" w:hAnsi="Times New Roman" w:cs="Times New Roman"/>
                <w:color w:val="auto"/>
                <w:kern w:val="0"/>
                <w:sz w:val="32"/>
                <w:szCs w:val="32"/>
                <w:highlight w:val="none"/>
              </w:rPr>
            </w:pPr>
          </w:p>
        </w:tc>
      </w:tr>
    </w:tbl>
    <w:p>
      <w:pPr>
        <w:spacing w:line="240" w:lineRule="atLeast"/>
        <w:jc w:val="both"/>
        <w:rPr>
          <w:rFonts w:eastAsia="仿宋_GB2312"/>
          <w:color w:val="auto"/>
          <w:spacing w:val="10"/>
          <w:kern w:val="0"/>
          <w:sz w:val="28"/>
          <w:szCs w:val="28"/>
          <w:highlight w:val="none"/>
        </w:rPr>
      </w:pPr>
      <w:r>
        <w:rPr>
          <w:rFonts w:eastAsia="仿宋_GB2312"/>
          <w:color w:val="auto"/>
          <w:spacing w:val="10"/>
          <w:kern w:val="0"/>
          <w:sz w:val="28"/>
          <w:szCs w:val="28"/>
          <w:highlight w:val="none"/>
        </w:rPr>
        <w:t>填写说明：</w:t>
      </w:r>
    </w:p>
    <w:p>
      <w:pPr>
        <w:pStyle w:val="16"/>
        <w:spacing w:line="240" w:lineRule="atLeast"/>
        <w:ind w:firstLine="0" w:firstLineChars="0"/>
        <w:jc w:val="both"/>
        <w:rPr>
          <w:rFonts w:ascii="Times New Roman" w:hAnsi="Times New Roman" w:eastAsia="仿宋_GB2312" w:cs="Times New Roman"/>
          <w:color w:val="auto"/>
          <w:spacing w:val="10"/>
          <w:kern w:val="0"/>
          <w:highlight w:val="none"/>
        </w:rPr>
      </w:pPr>
      <w:r>
        <w:rPr>
          <w:rFonts w:ascii="Times New Roman" w:hAnsi="Times New Roman" w:eastAsia="仿宋_GB2312" w:cs="Times New Roman"/>
          <w:b/>
          <w:color w:val="auto"/>
          <w:spacing w:val="10"/>
          <w:kern w:val="0"/>
          <w:highlight w:val="none"/>
        </w:rPr>
        <w:t>1．用途：</w:t>
      </w:r>
      <w:r>
        <w:rPr>
          <w:rFonts w:ascii="Times New Roman" w:hAnsi="Times New Roman" w:eastAsia="仿宋_GB2312" w:cs="Times New Roman"/>
          <w:color w:val="auto"/>
          <w:spacing w:val="10"/>
          <w:kern w:val="0"/>
          <w:highlight w:val="none"/>
        </w:rPr>
        <w:t>（1）流动资金贷款，（2）固定资产贷款，（3）其他（含并购贷款、无形资产购买等）。</w:t>
      </w:r>
    </w:p>
    <w:p>
      <w:pPr>
        <w:pStyle w:val="16"/>
        <w:spacing w:line="240" w:lineRule="atLeast"/>
        <w:ind w:firstLine="0" w:firstLineChars="0"/>
        <w:jc w:val="both"/>
        <w:rPr>
          <w:rFonts w:ascii="Times New Roman" w:hAnsi="Times New Roman" w:eastAsia="仿宋_GB2312" w:cs="Times New Roman"/>
          <w:color w:val="auto"/>
          <w:spacing w:val="10"/>
          <w:kern w:val="0"/>
          <w:highlight w:val="none"/>
        </w:rPr>
      </w:pPr>
      <w:r>
        <w:rPr>
          <w:rFonts w:ascii="Times New Roman" w:hAnsi="Times New Roman" w:eastAsia="仿宋_GB2312" w:cs="Times New Roman"/>
          <w:b/>
          <w:color w:val="auto"/>
          <w:spacing w:val="10"/>
          <w:kern w:val="0"/>
          <w:highlight w:val="none"/>
        </w:rPr>
        <w:t>2．分摊类别：</w:t>
      </w:r>
      <w:r>
        <w:rPr>
          <w:rFonts w:ascii="Times New Roman" w:hAnsi="Times New Roman" w:eastAsia="仿宋_GB2312" w:cs="Times New Roman"/>
          <w:color w:val="auto"/>
          <w:spacing w:val="10"/>
          <w:kern w:val="0"/>
          <w:highlight w:val="none"/>
        </w:rPr>
        <w:t>按照第</w:t>
      </w:r>
      <w:r>
        <w:rPr>
          <w:rFonts w:hint="eastAsia" w:ascii="Times New Roman" w:hAnsi="Times New Roman" w:eastAsia="仿宋_GB2312" w:cs="Times New Roman"/>
          <w:color w:val="auto"/>
          <w:spacing w:val="10"/>
          <w:kern w:val="0"/>
          <w:highlight w:val="none"/>
        </w:rPr>
        <w:t>十二</w:t>
      </w:r>
      <w:r>
        <w:rPr>
          <w:rFonts w:ascii="Times New Roman" w:hAnsi="Times New Roman" w:eastAsia="仿宋_GB2312" w:cs="Times New Roman"/>
          <w:color w:val="auto"/>
          <w:spacing w:val="10"/>
          <w:kern w:val="0"/>
          <w:highlight w:val="none"/>
        </w:rPr>
        <w:t>条对应风险分摊比例表格中的一、二、三、四</w:t>
      </w:r>
      <w:r>
        <w:rPr>
          <w:rFonts w:hint="eastAsia" w:ascii="Times New Roman" w:hAnsi="Times New Roman" w:eastAsia="仿宋_GB2312" w:cs="Times New Roman"/>
          <w:color w:val="auto"/>
          <w:spacing w:val="10"/>
          <w:kern w:val="0"/>
          <w:highlight w:val="none"/>
        </w:rPr>
        <w:t>、五</w:t>
      </w:r>
      <w:r>
        <w:rPr>
          <w:rFonts w:ascii="Times New Roman" w:hAnsi="Times New Roman" w:eastAsia="仿宋_GB2312" w:cs="Times New Roman"/>
          <w:color w:val="auto"/>
          <w:spacing w:val="10"/>
          <w:kern w:val="0"/>
          <w:highlight w:val="none"/>
        </w:rPr>
        <w:t>类。</w:t>
      </w:r>
    </w:p>
    <w:p>
      <w:pPr>
        <w:snapToGrid w:val="0"/>
        <w:spacing w:line="480" w:lineRule="exact"/>
        <w:jc w:val="both"/>
        <w:rPr>
          <w:rFonts w:ascii="Times New Roman" w:hAnsi="Times New Roman" w:eastAsia="黑体" w:cs="Times New Roman"/>
          <w:color w:val="auto"/>
          <w:sz w:val="32"/>
          <w:szCs w:val="32"/>
          <w:highlight w:val="none"/>
        </w:rPr>
      </w:pPr>
    </w:p>
    <w:p>
      <w:pPr>
        <w:snapToGrid w:val="0"/>
        <w:spacing w:line="480" w:lineRule="exact"/>
        <w:jc w:val="both"/>
        <w:rPr>
          <w:rFonts w:ascii="Times New Roman" w:hAnsi="Times New Roman" w:eastAsia="黑体" w:cs="Times New Roman"/>
          <w:color w:val="auto"/>
          <w:sz w:val="32"/>
          <w:szCs w:val="32"/>
          <w:highlight w:val="none"/>
        </w:rPr>
      </w:pPr>
    </w:p>
    <w:p>
      <w:pPr>
        <w:snapToGrid w:val="0"/>
        <w:spacing w:line="480" w:lineRule="exact"/>
        <w:jc w:val="both"/>
        <w:rPr>
          <w:rFonts w:ascii="Times New Roman" w:hAnsi="Times New Roman" w:eastAsia="黑体" w:cs="Times New Roman"/>
          <w:color w:val="auto"/>
          <w:sz w:val="32"/>
          <w:szCs w:val="32"/>
          <w:highlight w:val="none"/>
        </w:rPr>
      </w:pPr>
    </w:p>
    <w:p>
      <w:pPr>
        <w:snapToGrid w:val="0"/>
        <w:spacing w:line="480" w:lineRule="exact"/>
        <w:jc w:val="both"/>
        <w:rPr>
          <w:rFonts w:ascii="Times New Roman" w:hAnsi="Times New Roman" w:eastAsia="黑体" w:cs="Times New Roman"/>
          <w:color w:val="auto"/>
          <w:sz w:val="32"/>
          <w:szCs w:val="32"/>
          <w:highlight w:val="none"/>
        </w:rPr>
      </w:pPr>
    </w:p>
    <w:p>
      <w:pPr>
        <w:snapToGrid w:val="0"/>
        <w:spacing w:line="480" w:lineRule="exact"/>
        <w:jc w:val="both"/>
        <w:rPr>
          <w:rFonts w:ascii="Times New Roman" w:hAnsi="Times New Roman" w:eastAsia="黑体" w:cs="Times New Roman"/>
          <w:color w:val="auto"/>
          <w:sz w:val="32"/>
          <w:szCs w:val="32"/>
          <w:highlight w:val="none"/>
        </w:rPr>
      </w:pPr>
    </w:p>
    <w:p>
      <w:pPr>
        <w:snapToGrid w:val="0"/>
        <w:spacing w:line="480" w:lineRule="exact"/>
        <w:jc w:val="both"/>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 xml:space="preserve">附件5   </w:t>
      </w:r>
    </w:p>
    <w:p>
      <w:pPr>
        <w:snapToGrid w:val="0"/>
        <w:spacing w:line="480" w:lineRule="exact"/>
        <w:jc w:val="center"/>
        <w:rPr>
          <w:rFonts w:hint="eastAsia" w:ascii="微软简标宋" w:hAnsi="Times New Roman" w:eastAsia="微软简标宋" w:cs="Times New Roman"/>
          <w:color w:val="auto"/>
          <w:sz w:val="44"/>
          <w:szCs w:val="44"/>
          <w:highlight w:val="none"/>
        </w:rPr>
      </w:pPr>
    </w:p>
    <w:p>
      <w:pPr>
        <w:snapToGrid w:val="0"/>
        <w:spacing w:line="480" w:lineRule="exact"/>
        <w:jc w:val="center"/>
        <w:rPr>
          <w:rFonts w:ascii="微软简标宋" w:hAnsi="Times New Roman" w:eastAsia="微软简标宋" w:cs="Times New Roman"/>
          <w:color w:val="auto"/>
          <w:sz w:val="44"/>
          <w:szCs w:val="44"/>
          <w:highlight w:val="none"/>
        </w:rPr>
      </w:pPr>
      <w:r>
        <w:rPr>
          <w:rFonts w:hint="eastAsia" w:ascii="微软简标宋" w:hAnsi="Times New Roman" w:eastAsia="微软简标宋" w:cs="Times New Roman"/>
          <w:color w:val="auto"/>
          <w:sz w:val="44"/>
          <w:szCs w:val="44"/>
          <w:highlight w:val="none"/>
        </w:rPr>
        <w:t>中山火炬开发区企业担保金信贷</w:t>
      </w:r>
    </w:p>
    <w:p>
      <w:pPr>
        <w:snapToGrid w:val="0"/>
        <w:spacing w:line="480" w:lineRule="exact"/>
        <w:jc w:val="center"/>
        <w:rPr>
          <w:rFonts w:ascii="微软简标宋" w:hAnsi="Times New Roman" w:eastAsia="微软简标宋" w:cs="Times New Roman"/>
          <w:color w:val="auto"/>
          <w:sz w:val="44"/>
          <w:szCs w:val="44"/>
          <w:highlight w:val="none"/>
        </w:rPr>
      </w:pPr>
      <w:r>
        <w:rPr>
          <w:rFonts w:hint="eastAsia" w:ascii="微软简标宋" w:hAnsi="Times New Roman" w:eastAsia="微软简标宋" w:cs="Times New Roman"/>
          <w:color w:val="auto"/>
          <w:sz w:val="44"/>
          <w:szCs w:val="44"/>
          <w:highlight w:val="none"/>
        </w:rPr>
        <w:t>贴息申请表</w:t>
      </w:r>
    </w:p>
    <w:tbl>
      <w:tblPr>
        <w:tblStyle w:val="6"/>
        <w:tblW w:w="8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899"/>
        <w:gridCol w:w="1369"/>
        <w:gridCol w:w="1369"/>
        <w:gridCol w:w="806"/>
        <w:gridCol w:w="1179"/>
        <w:gridCol w:w="966"/>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906" w:type="dxa"/>
            <w:gridSpan w:val="2"/>
            <w:vAlign w:val="center"/>
          </w:tcPr>
          <w:p>
            <w:pPr>
              <w:snapToGrid w:val="0"/>
              <w:spacing w:line="440" w:lineRule="exact"/>
              <w:jc w:val="both"/>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企业名称</w:t>
            </w:r>
          </w:p>
        </w:tc>
        <w:tc>
          <w:tcPr>
            <w:tcW w:w="7088" w:type="dxa"/>
            <w:gridSpan w:val="6"/>
            <w:vAlign w:val="center"/>
          </w:tcPr>
          <w:p>
            <w:pPr>
              <w:snapToGrid w:val="0"/>
              <w:spacing w:line="440" w:lineRule="exact"/>
              <w:jc w:val="both"/>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（名称加盖章）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906" w:type="dxa"/>
            <w:gridSpan w:val="2"/>
            <w:vAlign w:val="center"/>
          </w:tcPr>
          <w:p>
            <w:pPr>
              <w:snapToGrid w:val="0"/>
              <w:spacing w:line="440" w:lineRule="exact"/>
              <w:jc w:val="both"/>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统一社会信用代码</w:t>
            </w:r>
          </w:p>
        </w:tc>
        <w:tc>
          <w:tcPr>
            <w:tcW w:w="7088" w:type="dxa"/>
            <w:gridSpan w:val="6"/>
            <w:vAlign w:val="center"/>
          </w:tcPr>
          <w:p>
            <w:pPr>
              <w:snapToGrid w:val="0"/>
              <w:spacing w:line="440" w:lineRule="exact"/>
              <w:jc w:val="both"/>
              <w:rPr>
                <w:rFonts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906"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注册地址</w:t>
            </w:r>
          </w:p>
        </w:tc>
        <w:tc>
          <w:tcPr>
            <w:tcW w:w="7088" w:type="dxa"/>
            <w:gridSpan w:val="6"/>
            <w:vAlign w:val="center"/>
          </w:tcPr>
          <w:p>
            <w:pPr>
              <w:snapToGrid w:val="0"/>
              <w:spacing w:line="320" w:lineRule="exact"/>
              <w:jc w:val="both"/>
              <w:rPr>
                <w:rFonts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906"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所在社区</w:t>
            </w:r>
          </w:p>
        </w:tc>
        <w:tc>
          <w:tcPr>
            <w:tcW w:w="2738"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 xml:space="preserve"> </w:t>
            </w:r>
          </w:p>
        </w:tc>
        <w:tc>
          <w:tcPr>
            <w:tcW w:w="1985"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成立日期</w:t>
            </w:r>
          </w:p>
        </w:tc>
        <w:tc>
          <w:tcPr>
            <w:tcW w:w="2365" w:type="dxa"/>
            <w:gridSpan w:val="2"/>
            <w:vAlign w:val="center"/>
          </w:tcPr>
          <w:p>
            <w:pPr>
              <w:wordWrap w:val="0"/>
              <w:snapToGrid w:val="0"/>
              <w:spacing w:line="320" w:lineRule="exact"/>
              <w:jc w:val="both"/>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 xml:space="preserve">     </w:t>
            </w:r>
            <w:r>
              <w:rPr>
                <w:rFonts w:ascii="Times New Roman" w:hAnsi="Times New Roman" w:eastAsia="仿宋_GB2312" w:cs="Times New Roman"/>
                <w:color w:val="auto"/>
                <w:sz w:val="24"/>
                <w:szCs w:val="24"/>
                <w:highlight w:val="none"/>
              </w:rPr>
              <w:t>年</w:t>
            </w:r>
            <w:r>
              <w:rPr>
                <w:rFonts w:hint="eastAsia" w:ascii="Times New Roman" w:hAnsi="Times New Roman" w:eastAsia="仿宋_GB2312" w:cs="Times New Roman"/>
                <w:color w:val="auto"/>
                <w:sz w:val="24"/>
                <w:szCs w:val="24"/>
                <w:highlight w:val="none"/>
              </w:rPr>
              <w:t xml:space="preserve">   </w:t>
            </w:r>
            <w:r>
              <w:rPr>
                <w:rFonts w:ascii="Times New Roman" w:hAnsi="Times New Roman" w:eastAsia="仿宋_GB2312" w:cs="Times New Roman"/>
                <w:color w:val="auto"/>
                <w:sz w:val="24"/>
                <w:szCs w:val="24"/>
                <w:highlight w:val="none"/>
              </w:rPr>
              <w:t>月</w:t>
            </w:r>
            <w:r>
              <w:rPr>
                <w:rFonts w:hint="eastAsia" w:ascii="Times New Roman" w:hAnsi="Times New Roman" w:eastAsia="仿宋_GB2312" w:cs="Times New Roman"/>
                <w:color w:val="auto"/>
                <w:sz w:val="24"/>
                <w:szCs w:val="24"/>
                <w:highlight w:val="none"/>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906"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注册资金</w:t>
            </w:r>
          </w:p>
        </w:tc>
        <w:tc>
          <w:tcPr>
            <w:tcW w:w="2738"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万元</w:t>
            </w:r>
          </w:p>
        </w:tc>
        <w:tc>
          <w:tcPr>
            <w:tcW w:w="1985"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val="en-US" w:eastAsia="zh-CN"/>
              </w:rPr>
              <w:t>实缴</w:t>
            </w:r>
            <w:r>
              <w:rPr>
                <w:rFonts w:ascii="Times New Roman" w:hAnsi="Times New Roman" w:eastAsia="仿宋_GB2312" w:cs="Times New Roman"/>
                <w:color w:val="auto"/>
                <w:sz w:val="24"/>
                <w:szCs w:val="24"/>
                <w:highlight w:val="none"/>
              </w:rPr>
              <w:t>资金</w:t>
            </w:r>
          </w:p>
        </w:tc>
        <w:tc>
          <w:tcPr>
            <w:tcW w:w="2365"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906"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从业人员期末数</w:t>
            </w:r>
          </w:p>
        </w:tc>
        <w:tc>
          <w:tcPr>
            <w:tcW w:w="2738"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 xml:space="preserve">                   人</w:t>
            </w:r>
          </w:p>
        </w:tc>
        <w:tc>
          <w:tcPr>
            <w:tcW w:w="1985"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厂房面积</w:t>
            </w:r>
          </w:p>
        </w:tc>
        <w:tc>
          <w:tcPr>
            <w:tcW w:w="2365"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906"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法人代表</w:t>
            </w:r>
          </w:p>
        </w:tc>
        <w:tc>
          <w:tcPr>
            <w:tcW w:w="2738"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p>
        </w:tc>
        <w:tc>
          <w:tcPr>
            <w:tcW w:w="1985" w:type="dxa"/>
            <w:gridSpan w:val="2"/>
            <w:vAlign w:val="center"/>
          </w:tcPr>
          <w:p>
            <w:pPr>
              <w:snapToGrid w:val="0"/>
              <w:spacing w:line="320" w:lineRule="exact"/>
              <w:jc w:val="both"/>
              <w:rPr>
                <w:rFonts w:hint="eastAsia" w:ascii="Times New Roman" w:hAnsi="Times New Roman" w:eastAsia="仿宋_GB2312" w:cs="Times New Roman"/>
                <w:color w:val="auto"/>
                <w:sz w:val="24"/>
                <w:szCs w:val="24"/>
                <w:highlight w:val="none"/>
                <w:lang w:eastAsia="zh-CN"/>
              </w:rPr>
            </w:pPr>
            <w:r>
              <w:rPr>
                <w:rFonts w:ascii="Times New Roman" w:hAnsi="Times New Roman" w:eastAsia="仿宋_GB2312" w:cs="Times New Roman"/>
                <w:color w:val="auto"/>
                <w:sz w:val="24"/>
                <w:szCs w:val="24"/>
                <w:highlight w:val="none"/>
              </w:rPr>
              <w:t>联系电话</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lang w:val="en-US" w:eastAsia="zh-CN"/>
              </w:rPr>
              <w:t>手机</w:t>
            </w:r>
            <w:r>
              <w:rPr>
                <w:rFonts w:hint="eastAsia" w:ascii="Times New Roman" w:hAnsi="Times New Roman" w:eastAsia="仿宋_GB2312" w:cs="Times New Roman"/>
                <w:color w:val="auto"/>
                <w:sz w:val="24"/>
                <w:szCs w:val="24"/>
                <w:highlight w:val="none"/>
                <w:lang w:eastAsia="zh-CN"/>
              </w:rPr>
              <w:t>）</w:t>
            </w:r>
          </w:p>
        </w:tc>
        <w:tc>
          <w:tcPr>
            <w:tcW w:w="2365"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jc w:val="center"/>
        </w:trPr>
        <w:tc>
          <w:tcPr>
            <w:tcW w:w="1007" w:type="dxa"/>
            <w:vMerge w:val="restart"/>
            <w:vAlign w:val="center"/>
          </w:tcPr>
          <w:p>
            <w:pPr>
              <w:snapToGrid w:val="0"/>
              <w:spacing w:line="320" w:lineRule="exact"/>
              <w:jc w:val="both"/>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联系人</w:t>
            </w:r>
          </w:p>
        </w:tc>
        <w:tc>
          <w:tcPr>
            <w:tcW w:w="899" w:type="dxa"/>
            <w:vAlign w:val="center"/>
          </w:tcPr>
          <w:p>
            <w:pPr>
              <w:snapToGrid w:val="0"/>
              <w:spacing w:line="320" w:lineRule="exact"/>
              <w:jc w:val="both"/>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姓名</w:t>
            </w:r>
          </w:p>
        </w:tc>
        <w:tc>
          <w:tcPr>
            <w:tcW w:w="2738"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p>
        </w:tc>
        <w:tc>
          <w:tcPr>
            <w:tcW w:w="1985"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固定电话/手机</w:t>
            </w:r>
          </w:p>
        </w:tc>
        <w:tc>
          <w:tcPr>
            <w:tcW w:w="2365"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007" w:type="dxa"/>
            <w:vMerge w:val="continue"/>
            <w:vAlign w:val="center"/>
          </w:tcPr>
          <w:p>
            <w:pPr>
              <w:snapToGrid w:val="0"/>
              <w:spacing w:line="320" w:lineRule="exact"/>
              <w:jc w:val="both"/>
              <w:rPr>
                <w:rFonts w:ascii="Times New Roman" w:hAnsi="Times New Roman" w:eastAsia="仿宋_GB2312" w:cs="Times New Roman"/>
                <w:color w:val="auto"/>
                <w:sz w:val="24"/>
                <w:szCs w:val="24"/>
                <w:highlight w:val="none"/>
              </w:rPr>
            </w:pPr>
          </w:p>
        </w:tc>
        <w:tc>
          <w:tcPr>
            <w:tcW w:w="899" w:type="dxa"/>
            <w:vAlign w:val="center"/>
          </w:tcPr>
          <w:p>
            <w:pPr>
              <w:snapToGrid w:val="0"/>
              <w:spacing w:line="320" w:lineRule="exact"/>
              <w:jc w:val="both"/>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职务</w:t>
            </w:r>
          </w:p>
        </w:tc>
        <w:tc>
          <w:tcPr>
            <w:tcW w:w="2738"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p>
        </w:tc>
        <w:tc>
          <w:tcPr>
            <w:tcW w:w="1985"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电子邮箱</w:t>
            </w:r>
          </w:p>
        </w:tc>
        <w:tc>
          <w:tcPr>
            <w:tcW w:w="2365"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6" w:type="dxa"/>
            <w:gridSpan w:val="2"/>
            <w:vMerge w:val="restart"/>
            <w:vAlign w:val="center"/>
          </w:tcPr>
          <w:p>
            <w:pPr>
              <w:snapToGrid w:val="0"/>
              <w:spacing w:line="320" w:lineRule="exact"/>
              <w:jc w:val="both"/>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企业主要负责人</w:t>
            </w:r>
          </w:p>
          <w:p>
            <w:pPr>
              <w:snapToGrid w:val="0"/>
              <w:spacing w:line="320" w:lineRule="exact"/>
              <w:jc w:val="both"/>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（含法人代表）</w:t>
            </w:r>
          </w:p>
        </w:tc>
        <w:tc>
          <w:tcPr>
            <w:tcW w:w="2738"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姓名</w:t>
            </w:r>
          </w:p>
        </w:tc>
        <w:tc>
          <w:tcPr>
            <w:tcW w:w="4350" w:type="dxa"/>
            <w:gridSpan w:val="4"/>
            <w:vAlign w:val="center"/>
          </w:tcPr>
          <w:p>
            <w:pPr>
              <w:snapToGrid w:val="0"/>
              <w:spacing w:line="320" w:lineRule="exact"/>
              <w:jc w:val="both"/>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6" w:type="dxa"/>
            <w:gridSpan w:val="2"/>
            <w:vMerge w:val="continue"/>
            <w:vAlign w:val="center"/>
          </w:tcPr>
          <w:p>
            <w:pPr>
              <w:snapToGrid w:val="0"/>
              <w:spacing w:line="320" w:lineRule="exact"/>
              <w:jc w:val="both"/>
              <w:rPr>
                <w:rFonts w:ascii="Times New Roman" w:hAnsi="Times New Roman" w:eastAsia="仿宋_GB2312" w:cs="Times New Roman"/>
                <w:color w:val="auto"/>
                <w:sz w:val="24"/>
                <w:szCs w:val="24"/>
                <w:highlight w:val="none"/>
              </w:rPr>
            </w:pPr>
          </w:p>
        </w:tc>
        <w:tc>
          <w:tcPr>
            <w:tcW w:w="2738"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p>
        </w:tc>
        <w:tc>
          <w:tcPr>
            <w:tcW w:w="4350" w:type="dxa"/>
            <w:gridSpan w:val="4"/>
            <w:vAlign w:val="center"/>
          </w:tcPr>
          <w:p>
            <w:pPr>
              <w:snapToGrid w:val="0"/>
              <w:spacing w:line="320" w:lineRule="exact"/>
              <w:jc w:val="both"/>
              <w:rPr>
                <w:rFonts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6" w:type="dxa"/>
            <w:gridSpan w:val="2"/>
            <w:vMerge w:val="continue"/>
            <w:vAlign w:val="center"/>
          </w:tcPr>
          <w:p>
            <w:pPr>
              <w:snapToGrid w:val="0"/>
              <w:spacing w:line="320" w:lineRule="exact"/>
              <w:jc w:val="both"/>
              <w:rPr>
                <w:rFonts w:ascii="Times New Roman" w:hAnsi="Times New Roman" w:eastAsia="仿宋_GB2312" w:cs="Times New Roman"/>
                <w:color w:val="auto"/>
                <w:sz w:val="24"/>
                <w:szCs w:val="24"/>
                <w:highlight w:val="none"/>
              </w:rPr>
            </w:pPr>
          </w:p>
        </w:tc>
        <w:tc>
          <w:tcPr>
            <w:tcW w:w="2738"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p>
        </w:tc>
        <w:tc>
          <w:tcPr>
            <w:tcW w:w="4350" w:type="dxa"/>
            <w:gridSpan w:val="4"/>
            <w:vAlign w:val="center"/>
          </w:tcPr>
          <w:p>
            <w:pPr>
              <w:snapToGrid w:val="0"/>
              <w:spacing w:line="320" w:lineRule="exact"/>
              <w:jc w:val="both"/>
              <w:rPr>
                <w:rFonts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6" w:type="dxa"/>
            <w:gridSpan w:val="2"/>
            <w:vMerge w:val="continue"/>
            <w:vAlign w:val="center"/>
          </w:tcPr>
          <w:p>
            <w:pPr>
              <w:snapToGrid w:val="0"/>
              <w:spacing w:line="320" w:lineRule="exact"/>
              <w:jc w:val="both"/>
              <w:rPr>
                <w:rFonts w:ascii="Times New Roman" w:hAnsi="Times New Roman" w:eastAsia="仿宋_GB2312" w:cs="Times New Roman"/>
                <w:color w:val="auto"/>
                <w:sz w:val="24"/>
                <w:szCs w:val="24"/>
                <w:highlight w:val="none"/>
              </w:rPr>
            </w:pPr>
          </w:p>
        </w:tc>
        <w:tc>
          <w:tcPr>
            <w:tcW w:w="2738"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p>
        </w:tc>
        <w:tc>
          <w:tcPr>
            <w:tcW w:w="4350" w:type="dxa"/>
            <w:gridSpan w:val="4"/>
            <w:vAlign w:val="center"/>
          </w:tcPr>
          <w:p>
            <w:pPr>
              <w:snapToGrid w:val="0"/>
              <w:spacing w:line="320" w:lineRule="exact"/>
              <w:jc w:val="both"/>
              <w:rPr>
                <w:rFonts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6"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企业属性</w:t>
            </w:r>
          </w:p>
        </w:tc>
        <w:tc>
          <w:tcPr>
            <w:tcW w:w="7088" w:type="dxa"/>
            <w:gridSpan w:val="6"/>
            <w:vAlign w:val="center"/>
          </w:tcPr>
          <w:p>
            <w:pPr>
              <w:snapToGrid w:val="0"/>
              <w:spacing w:line="320" w:lineRule="exact"/>
              <w:jc w:val="both"/>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□民营   □集体   □中外合资   □国有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6"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所属行业</w:t>
            </w:r>
          </w:p>
        </w:tc>
        <w:tc>
          <w:tcPr>
            <w:tcW w:w="7088" w:type="dxa"/>
            <w:gridSpan w:val="6"/>
            <w:vAlign w:val="center"/>
          </w:tcPr>
          <w:p>
            <w:pPr>
              <w:snapToGrid w:val="0"/>
              <w:spacing w:line="320" w:lineRule="exact"/>
              <w:jc w:val="both"/>
              <w:rPr>
                <w:rFonts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906"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经营范围</w:t>
            </w:r>
          </w:p>
        </w:tc>
        <w:tc>
          <w:tcPr>
            <w:tcW w:w="7088" w:type="dxa"/>
            <w:gridSpan w:val="6"/>
            <w:vAlign w:val="center"/>
          </w:tcPr>
          <w:p>
            <w:pPr>
              <w:snapToGrid w:val="0"/>
              <w:spacing w:line="320" w:lineRule="exact"/>
              <w:jc w:val="both"/>
              <w:rPr>
                <w:rFonts w:ascii="Times New Roman" w:hAnsi="Times New Roman" w:eastAsia="仿宋_GB2312" w:cs="Times New Roman"/>
                <w:color w:val="auto"/>
                <w:sz w:val="24"/>
                <w:szCs w:val="24"/>
                <w:highlight w:val="none"/>
              </w:rPr>
            </w:pPr>
          </w:p>
          <w:p>
            <w:pPr>
              <w:snapToGrid w:val="0"/>
              <w:spacing w:line="320" w:lineRule="exact"/>
              <w:jc w:val="both"/>
              <w:rPr>
                <w:rFonts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6" w:type="dxa"/>
            <w:gridSpan w:val="2"/>
            <w:vMerge w:val="restart"/>
            <w:vAlign w:val="center"/>
          </w:tcPr>
          <w:p>
            <w:pPr>
              <w:snapToGrid w:val="0"/>
              <w:spacing w:line="320" w:lineRule="exact"/>
              <w:jc w:val="both"/>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近两个会计年度纳税申报表的经济指标（万元）</w:t>
            </w:r>
          </w:p>
        </w:tc>
        <w:tc>
          <w:tcPr>
            <w:tcW w:w="1369" w:type="dxa"/>
            <w:vAlign w:val="center"/>
          </w:tcPr>
          <w:p>
            <w:pPr>
              <w:snapToGrid w:val="0"/>
              <w:spacing w:line="320" w:lineRule="exact"/>
              <w:jc w:val="both"/>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年度</w:t>
            </w:r>
          </w:p>
        </w:tc>
        <w:tc>
          <w:tcPr>
            <w:tcW w:w="2175"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前年（      年）</w:t>
            </w:r>
          </w:p>
        </w:tc>
        <w:tc>
          <w:tcPr>
            <w:tcW w:w="2145"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去年（      年）</w:t>
            </w:r>
          </w:p>
        </w:tc>
        <w:tc>
          <w:tcPr>
            <w:tcW w:w="1399" w:type="dxa"/>
            <w:vAlign w:val="center"/>
          </w:tcPr>
          <w:p>
            <w:pPr>
              <w:snapToGrid w:val="0"/>
              <w:spacing w:line="320" w:lineRule="exact"/>
              <w:jc w:val="both"/>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比增（%）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6" w:type="dxa"/>
            <w:gridSpan w:val="2"/>
            <w:vMerge w:val="continue"/>
            <w:vAlign w:val="center"/>
          </w:tcPr>
          <w:p>
            <w:pPr>
              <w:snapToGrid w:val="0"/>
              <w:spacing w:line="320" w:lineRule="exact"/>
              <w:jc w:val="both"/>
              <w:rPr>
                <w:rFonts w:ascii="Times New Roman" w:hAnsi="Times New Roman" w:eastAsia="仿宋_GB2312" w:cs="Times New Roman"/>
                <w:color w:val="auto"/>
                <w:sz w:val="24"/>
                <w:szCs w:val="24"/>
                <w:highlight w:val="none"/>
              </w:rPr>
            </w:pPr>
          </w:p>
        </w:tc>
        <w:tc>
          <w:tcPr>
            <w:tcW w:w="1369" w:type="dxa"/>
            <w:vAlign w:val="center"/>
          </w:tcPr>
          <w:p>
            <w:pPr>
              <w:snapToGrid w:val="0"/>
              <w:spacing w:line="320" w:lineRule="exact"/>
              <w:jc w:val="both"/>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营收</w:t>
            </w:r>
          </w:p>
        </w:tc>
        <w:tc>
          <w:tcPr>
            <w:tcW w:w="2175"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p>
        </w:tc>
        <w:tc>
          <w:tcPr>
            <w:tcW w:w="2145"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p>
        </w:tc>
        <w:tc>
          <w:tcPr>
            <w:tcW w:w="1399" w:type="dxa"/>
            <w:vAlign w:val="center"/>
          </w:tcPr>
          <w:p>
            <w:pPr>
              <w:snapToGrid w:val="0"/>
              <w:spacing w:line="320" w:lineRule="exact"/>
              <w:jc w:val="both"/>
              <w:rPr>
                <w:rFonts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6" w:type="dxa"/>
            <w:gridSpan w:val="2"/>
            <w:vMerge w:val="continue"/>
            <w:vAlign w:val="center"/>
          </w:tcPr>
          <w:p>
            <w:pPr>
              <w:snapToGrid w:val="0"/>
              <w:spacing w:line="320" w:lineRule="exact"/>
              <w:jc w:val="both"/>
              <w:rPr>
                <w:rFonts w:ascii="Times New Roman" w:hAnsi="Times New Roman" w:eastAsia="仿宋_GB2312" w:cs="Times New Roman"/>
                <w:color w:val="auto"/>
                <w:sz w:val="24"/>
                <w:szCs w:val="24"/>
                <w:highlight w:val="none"/>
              </w:rPr>
            </w:pPr>
          </w:p>
        </w:tc>
        <w:tc>
          <w:tcPr>
            <w:tcW w:w="1369" w:type="dxa"/>
            <w:vAlign w:val="center"/>
          </w:tcPr>
          <w:p>
            <w:pPr>
              <w:snapToGrid w:val="0"/>
              <w:spacing w:line="320" w:lineRule="exact"/>
              <w:jc w:val="both"/>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税收</w:t>
            </w:r>
          </w:p>
        </w:tc>
        <w:tc>
          <w:tcPr>
            <w:tcW w:w="2175"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p>
        </w:tc>
        <w:tc>
          <w:tcPr>
            <w:tcW w:w="2145"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p>
        </w:tc>
        <w:tc>
          <w:tcPr>
            <w:tcW w:w="1399" w:type="dxa"/>
            <w:vAlign w:val="center"/>
          </w:tcPr>
          <w:p>
            <w:pPr>
              <w:snapToGrid w:val="0"/>
              <w:spacing w:line="320" w:lineRule="exact"/>
              <w:jc w:val="both"/>
              <w:rPr>
                <w:rFonts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6" w:type="dxa"/>
            <w:gridSpan w:val="2"/>
            <w:vMerge w:val="continue"/>
            <w:vAlign w:val="center"/>
          </w:tcPr>
          <w:p>
            <w:pPr>
              <w:snapToGrid w:val="0"/>
              <w:spacing w:line="320" w:lineRule="exact"/>
              <w:jc w:val="both"/>
              <w:rPr>
                <w:rFonts w:ascii="Times New Roman" w:hAnsi="Times New Roman" w:eastAsia="仿宋_GB2312" w:cs="Times New Roman"/>
                <w:color w:val="auto"/>
                <w:sz w:val="24"/>
                <w:szCs w:val="24"/>
                <w:highlight w:val="none"/>
              </w:rPr>
            </w:pPr>
          </w:p>
        </w:tc>
        <w:tc>
          <w:tcPr>
            <w:tcW w:w="1369" w:type="dxa"/>
            <w:vAlign w:val="center"/>
          </w:tcPr>
          <w:p>
            <w:pPr>
              <w:snapToGrid w:val="0"/>
              <w:spacing w:line="320" w:lineRule="exact"/>
              <w:jc w:val="both"/>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净利润</w:t>
            </w:r>
          </w:p>
        </w:tc>
        <w:tc>
          <w:tcPr>
            <w:tcW w:w="2175"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p>
        </w:tc>
        <w:tc>
          <w:tcPr>
            <w:tcW w:w="2145"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p>
        </w:tc>
        <w:tc>
          <w:tcPr>
            <w:tcW w:w="1399" w:type="dxa"/>
            <w:vAlign w:val="center"/>
          </w:tcPr>
          <w:p>
            <w:pPr>
              <w:snapToGrid w:val="0"/>
              <w:spacing w:line="320" w:lineRule="exact"/>
              <w:jc w:val="both"/>
              <w:rPr>
                <w:rFonts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06"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贷款明细</w:t>
            </w:r>
          </w:p>
        </w:tc>
        <w:tc>
          <w:tcPr>
            <w:tcW w:w="7088" w:type="dxa"/>
            <w:gridSpan w:val="6"/>
            <w:vAlign w:val="center"/>
          </w:tcPr>
          <w:p>
            <w:pPr>
              <w:snapToGrid w:val="0"/>
              <w:spacing w:line="320" w:lineRule="exact"/>
              <w:jc w:val="both"/>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b/>
                <w:bCs/>
                <w:color w:val="auto"/>
                <w:sz w:val="24"/>
                <w:szCs w:val="24"/>
                <w:highlight w:val="none"/>
              </w:rPr>
              <w:t>另见附表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06"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申请单位承诺书</w:t>
            </w:r>
          </w:p>
        </w:tc>
        <w:tc>
          <w:tcPr>
            <w:tcW w:w="7088" w:type="dxa"/>
            <w:gridSpan w:val="6"/>
            <w:vAlign w:val="center"/>
          </w:tcPr>
          <w:p>
            <w:pPr>
              <w:snapToGrid w:val="0"/>
              <w:spacing w:line="320" w:lineRule="exact"/>
              <w:jc w:val="both"/>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b/>
                <w:bCs/>
                <w:color w:val="auto"/>
                <w:sz w:val="24"/>
                <w:szCs w:val="24"/>
                <w:highlight w:val="none"/>
              </w:rPr>
              <w:t xml:space="preserve">    我单位承诺：本申请表、附表中所填报内容和所提交材料真实、合法，我单位在此次申请前和申请获批后，均不存在对附表贷款申请区内其他政策贴息补助的行为。如不履行上述承诺或有弄虚作假行为，我单位愿意承担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906" w:type="dxa"/>
            <w:gridSpan w:val="2"/>
            <w:vAlign w:val="center"/>
          </w:tcPr>
          <w:p>
            <w:pPr>
              <w:snapToGrid w:val="0"/>
              <w:spacing w:line="320" w:lineRule="exact"/>
              <w:jc w:val="both"/>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rPr>
              <w:t>合作银行确认</w:t>
            </w:r>
          </w:p>
        </w:tc>
        <w:tc>
          <w:tcPr>
            <w:tcW w:w="7088" w:type="dxa"/>
            <w:gridSpan w:val="6"/>
            <w:vAlign w:val="center"/>
          </w:tcPr>
          <w:p>
            <w:pPr>
              <w:snapToGrid w:val="0"/>
              <w:spacing w:line="320" w:lineRule="exact"/>
              <w:jc w:val="both"/>
              <w:rPr>
                <w:rFonts w:ascii="Times New Roman" w:hAnsi="Times New Roman" w:eastAsia="仿宋_GB2312" w:cs="Times New Roman"/>
                <w:color w:val="auto"/>
                <w:sz w:val="24"/>
                <w:szCs w:val="24"/>
                <w:highlight w:val="none"/>
              </w:rPr>
            </w:pPr>
          </w:p>
          <w:p>
            <w:pPr>
              <w:snapToGrid w:val="0"/>
              <w:spacing w:line="320" w:lineRule="exact"/>
              <w:jc w:val="both"/>
              <w:rPr>
                <w:rFonts w:ascii="Times New Roman" w:hAnsi="Times New Roman" w:eastAsia="仿宋_GB2312" w:cs="Times New Roman"/>
                <w:color w:val="auto"/>
                <w:sz w:val="24"/>
                <w:szCs w:val="24"/>
                <w:highlight w:val="none"/>
              </w:rPr>
            </w:pPr>
          </w:p>
          <w:p>
            <w:pPr>
              <w:snapToGrid w:val="0"/>
              <w:spacing w:line="320" w:lineRule="exact"/>
              <w:jc w:val="both"/>
              <w:rPr>
                <w:rFonts w:ascii="Times New Roman" w:hAnsi="Times New Roman" w:eastAsia="仿宋_GB2312" w:cs="Times New Roman"/>
                <w:color w:val="auto"/>
                <w:sz w:val="24"/>
                <w:szCs w:val="24"/>
                <w:highlight w:val="none"/>
              </w:rPr>
            </w:pPr>
          </w:p>
        </w:tc>
      </w:tr>
    </w:tbl>
    <w:p>
      <w:pPr>
        <w:snapToGrid w:val="0"/>
        <w:spacing w:line="480" w:lineRule="exact"/>
        <w:jc w:val="center"/>
        <w:rPr>
          <w:rFonts w:hint="eastAsia" w:ascii="微软简标宋" w:hAnsi="Times New Roman" w:eastAsia="微软简标宋" w:cs="Times New Roman"/>
          <w:color w:val="auto"/>
          <w:sz w:val="44"/>
          <w:szCs w:val="44"/>
          <w:highlight w:val="none"/>
        </w:rPr>
      </w:pPr>
    </w:p>
    <w:p>
      <w:pPr>
        <w:snapToGrid w:val="0"/>
        <w:spacing w:line="480" w:lineRule="exact"/>
        <w:jc w:val="center"/>
        <w:rPr>
          <w:rFonts w:hint="eastAsia" w:ascii="微软简标宋" w:hAnsi="Times New Roman" w:eastAsia="微软简标宋" w:cs="Times New Roman"/>
          <w:color w:val="auto"/>
          <w:sz w:val="44"/>
          <w:szCs w:val="44"/>
          <w:highlight w:val="none"/>
        </w:rPr>
      </w:pPr>
    </w:p>
    <w:p>
      <w:pPr>
        <w:snapToGrid w:val="0"/>
        <w:spacing w:line="480" w:lineRule="exact"/>
        <w:jc w:val="both"/>
        <w:rPr>
          <w:rFonts w:hint="eastAsia" w:ascii="微软简标宋" w:hAnsi="Times New Roman" w:eastAsia="微软简标宋" w:cs="Times New Roman"/>
          <w:color w:val="auto"/>
          <w:sz w:val="44"/>
          <w:szCs w:val="44"/>
          <w:highlight w:val="none"/>
        </w:rPr>
      </w:pPr>
    </w:p>
    <w:p>
      <w:pPr>
        <w:snapToGrid w:val="0"/>
        <w:spacing w:line="480" w:lineRule="exact"/>
        <w:jc w:val="center"/>
        <w:rPr>
          <w:rFonts w:ascii="微软简标宋" w:hAnsi="Times New Roman" w:eastAsia="微软简标宋" w:cs="Times New Roman"/>
          <w:color w:val="auto"/>
          <w:sz w:val="44"/>
          <w:szCs w:val="44"/>
          <w:highlight w:val="none"/>
        </w:rPr>
      </w:pPr>
      <w:r>
        <w:rPr>
          <w:rFonts w:hint="eastAsia" w:ascii="微软简标宋" w:hAnsi="Times New Roman" w:eastAsia="微软简标宋" w:cs="Times New Roman"/>
          <w:color w:val="auto"/>
          <w:sz w:val="44"/>
          <w:szCs w:val="44"/>
          <w:highlight w:val="none"/>
        </w:rPr>
        <w:t>中山火炬开发区企业担保金信贷</w:t>
      </w:r>
    </w:p>
    <w:p>
      <w:pPr>
        <w:snapToGrid w:val="0"/>
        <w:spacing w:line="480" w:lineRule="exact"/>
        <w:jc w:val="center"/>
        <w:rPr>
          <w:rFonts w:ascii="微软简标宋" w:hAnsi="Times New Roman" w:eastAsia="微软简标宋" w:cs="Times New Roman"/>
          <w:color w:val="auto"/>
          <w:sz w:val="44"/>
          <w:szCs w:val="44"/>
          <w:highlight w:val="none"/>
        </w:rPr>
      </w:pPr>
      <w:r>
        <w:rPr>
          <w:rFonts w:hint="eastAsia" w:ascii="微软简标宋" w:hAnsi="Times New Roman" w:eastAsia="微软简标宋" w:cs="Times New Roman"/>
          <w:color w:val="auto"/>
          <w:sz w:val="44"/>
          <w:szCs w:val="44"/>
          <w:highlight w:val="none"/>
        </w:rPr>
        <w:t>贴息申请表（附表：贷款明细）</w:t>
      </w:r>
    </w:p>
    <w:p>
      <w:pPr>
        <w:snapToGrid w:val="0"/>
        <w:spacing w:line="480" w:lineRule="exact"/>
        <w:jc w:val="both"/>
        <w:rPr>
          <w:rFonts w:ascii="微软简标宋" w:hAnsi="Times New Roman" w:eastAsia="微软简标宋" w:cs="Times New Roman"/>
          <w:color w:val="auto"/>
          <w:sz w:val="44"/>
          <w:szCs w:val="44"/>
          <w:highlight w:val="none"/>
        </w:rPr>
      </w:pPr>
    </w:p>
    <w:p>
      <w:pPr>
        <w:snapToGrid w:val="0"/>
        <w:spacing w:line="480" w:lineRule="exact"/>
        <w:jc w:val="both"/>
        <w:rPr>
          <w:rFonts w:ascii="Times New Roman" w:hAnsi="Times New Roman" w:eastAsia="仿宋_GB2312" w:cs="Times New Roman"/>
          <w:color w:val="auto"/>
          <w:sz w:val="24"/>
          <w:szCs w:val="32"/>
          <w:highlight w:val="none"/>
        </w:rPr>
      </w:pPr>
      <w:r>
        <w:rPr>
          <w:rFonts w:ascii="Times New Roman" w:hAnsi="Times New Roman" w:eastAsia="仿宋_GB2312" w:cs="Times New Roman"/>
          <w:color w:val="auto"/>
          <w:sz w:val="24"/>
          <w:szCs w:val="32"/>
          <w:highlight w:val="none"/>
        </w:rPr>
        <w:t>企业名称（名称加盖章）</w:t>
      </w:r>
      <w:r>
        <w:rPr>
          <w:rFonts w:hint="eastAsia" w:ascii="Times New Roman" w:hAnsi="Times New Roman" w:eastAsia="仿宋_GB2312" w:cs="Times New Roman"/>
          <w:color w:val="auto"/>
          <w:sz w:val="24"/>
          <w:szCs w:val="32"/>
          <w:highlight w:val="none"/>
        </w:rPr>
        <w:t>：</w:t>
      </w:r>
    </w:p>
    <w:p>
      <w:pPr>
        <w:snapToGrid w:val="0"/>
        <w:spacing w:line="480" w:lineRule="exact"/>
        <w:jc w:val="both"/>
        <w:rPr>
          <w:rFonts w:ascii="Times New Roman" w:hAnsi="Times New Roman" w:eastAsia="仿宋_GB2312" w:cs="Times New Roman"/>
          <w:color w:val="auto"/>
          <w:sz w:val="24"/>
          <w:szCs w:val="32"/>
          <w:highlight w:val="none"/>
        </w:rPr>
      </w:pPr>
      <w:r>
        <w:rPr>
          <w:rFonts w:hint="eastAsia" w:ascii="Times New Roman" w:hAnsi="Times New Roman" w:eastAsia="仿宋_GB2312" w:cs="Times New Roman"/>
          <w:color w:val="auto"/>
          <w:sz w:val="24"/>
          <w:szCs w:val="32"/>
          <w:highlight w:val="none"/>
        </w:rPr>
        <w:t>放款银行机构：</w:t>
      </w:r>
    </w:p>
    <w:tbl>
      <w:tblPr>
        <w:tblStyle w:val="6"/>
        <w:tblW w:w="96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585"/>
        <w:gridCol w:w="810"/>
        <w:gridCol w:w="1772"/>
        <w:gridCol w:w="825"/>
        <w:gridCol w:w="810"/>
        <w:gridCol w:w="1200"/>
        <w:gridCol w:w="795"/>
        <w:gridCol w:w="705"/>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478" w:type="dxa"/>
            <w:vAlign w:val="center"/>
          </w:tcPr>
          <w:p>
            <w:pPr>
              <w:snapToGrid w:val="0"/>
              <w:spacing w:line="440" w:lineRule="exact"/>
              <w:jc w:val="both"/>
              <w:rPr>
                <w:rFonts w:ascii="Times New Roman" w:hAnsi="Times New Roman" w:eastAsia="仿宋_GB2312" w:cs="Times New Roman"/>
                <w:color w:val="auto"/>
                <w:sz w:val="24"/>
                <w:szCs w:val="32"/>
                <w:highlight w:val="none"/>
              </w:rPr>
            </w:pPr>
            <w:r>
              <w:rPr>
                <w:rFonts w:hint="eastAsia" w:ascii="Times New Roman" w:hAnsi="Times New Roman" w:eastAsia="仿宋_GB2312" w:cs="Times New Roman"/>
                <w:color w:val="auto"/>
                <w:sz w:val="24"/>
                <w:szCs w:val="32"/>
                <w:highlight w:val="none"/>
              </w:rPr>
              <w:t>序号</w:t>
            </w:r>
          </w:p>
        </w:tc>
        <w:tc>
          <w:tcPr>
            <w:tcW w:w="585" w:type="dxa"/>
            <w:vAlign w:val="center"/>
          </w:tcPr>
          <w:p>
            <w:pPr>
              <w:snapToGrid w:val="0"/>
              <w:spacing w:line="440" w:lineRule="exact"/>
              <w:jc w:val="both"/>
              <w:rPr>
                <w:rFonts w:ascii="Times New Roman" w:hAnsi="Times New Roman" w:eastAsia="仿宋_GB2312" w:cs="Times New Roman"/>
                <w:color w:val="auto"/>
                <w:sz w:val="24"/>
                <w:szCs w:val="32"/>
                <w:highlight w:val="none"/>
              </w:rPr>
            </w:pPr>
            <w:r>
              <w:rPr>
                <w:rFonts w:hint="eastAsia" w:ascii="Times New Roman" w:hAnsi="Times New Roman" w:eastAsia="仿宋_GB2312" w:cs="Times New Roman"/>
                <w:color w:val="auto"/>
                <w:sz w:val="24"/>
                <w:szCs w:val="32"/>
                <w:highlight w:val="none"/>
              </w:rPr>
              <w:t>分摊</w:t>
            </w:r>
          </w:p>
          <w:p>
            <w:pPr>
              <w:snapToGrid w:val="0"/>
              <w:spacing w:line="440" w:lineRule="exact"/>
              <w:jc w:val="both"/>
              <w:rPr>
                <w:rFonts w:ascii="Times New Roman" w:hAnsi="Times New Roman" w:eastAsia="仿宋_GB2312" w:cs="Times New Roman"/>
                <w:color w:val="auto"/>
                <w:sz w:val="24"/>
                <w:szCs w:val="32"/>
                <w:highlight w:val="none"/>
              </w:rPr>
            </w:pPr>
            <w:r>
              <w:rPr>
                <w:rFonts w:hint="eastAsia" w:ascii="Times New Roman" w:hAnsi="Times New Roman" w:eastAsia="仿宋_GB2312" w:cs="Times New Roman"/>
                <w:color w:val="auto"/>
                <w:sz w:val="24"/>
                <w:szCs w:val="32"/>
                <w:highlight w:val="none"/>
              </w:rPr>
              <w:t>类别</w:t>
            </w:r>
          </w:p>
        </w:tc>
        <w:tc>
          <w:tcPr>
            <w:tcW w:w="810" w:type="dxa"/>
            <w:vAlign w:val="center"/>
          </w:tcPr>
          <w:p>
            <w:pPr>
              <w:snapToGrid w:val="0"/>
              <w:spacing w:line="440" w:lineRule="exact"/>
              <w:jc w:val="both"/>
              <w:rPr>
                <w:rFonts w:ascii="Times New Roman" w:hAnsi="Times New Roman" w:eastAsia="仿宋_GB2312" w:cs="Times New Roman"/>
                <w:color w:val="auto"/>
                <w:sz w:val="24"/>
                <w:szCs w:val="32"/>
                <w:highlight w:val="none"/>
              </w:rPr>
            </w:pPr>
            <w:r>
              <w:rPr>
                <w:rFonts w:hint="eastAsia" w:ascii="Times New Roman" w:hAnsi="Times New Roman" w:eastAsia="仿宋_GB2312" w:cs="Times New Roman"/>
                <w:color w:val="auto"/>
                <w:sz w:val="24"/>
                <w:szCs w:val="32"/>
                <w:highlight w:val="none"/>
              </w:rPr>
              <w:t>贴息比例（%）</w:t>
            </w:r>
          </w:p>
        </w:tc>
        <w:tc>
          <w:tcPr>
            <w:tcW w:w="1772" w:type="dxa"/>
            <w:vAlign w:val="center"/>
          </w:tcPr>
          <w:p>
            <w:pPr>
              <w:snapToGrid w:val="0"/>
              <w:spacing w:line="440" w:lineRule="exact"/>
              <w:jc w:val="both"/>
              <w:rPr>
                <w:rFonts w:ascii="Times New Roman" w:hAnsi="Times New Roman" w:eastAsia="仿宋_GB2312" w:cs="Times New Roman"/>
                <w:color w:val="auto"/>
                <w:sz w:val="24"/>
                <w:szCs w:val="32"/>
                <w:highlight w:val="none"/>
              </w:rPr>
            </w:pPr>
            <w:r>
              <w:rPr>
                <w:rFonts w:hint="eastAsia" w:ascii="Times New Roman" w:hAnsi="Times New Roman" w:eastAsia="仿宋_GB2312" w:cs="Times New Roman"/>
                <w:color w:val="auto"/>
                <w:sz w:val="24"/>
                <w:szCs w:val="32"/>
                <w:highlight w:val="none"/>
              </w:rPr>
              <w:t>贷款合同编号</w:t>
            </w:r>
          </w:p>
        </w:tc>
        <w:tc>
          <w:tcPr>
            <w:tcW w:w="825" w:type="dxa"/>
            <w:vAlign w:val="center"/>
          </w:tcPr>
          <w:p>
            <w:pPr>
              <w:snapToGrid w:val="0"/>
              <w:spacing w:line="440" w:lineRule="exact"/>
              <w:jc w:val="both"/>
              <w:rPr>
                <w:rFonts w:ascii="Times New Roman" w:hAnsi="Times New Roman" w:eastAsia="仿宋_GB2312" w:cs="Times New Roman"/>
                <w:color w:val="auto"/>
                <w:sz w:val="24"/>
                <w:szCs w:val="32"/>
                <w:highlight w:val="none"/>
              </w:rPr>
            </w:pPr>
            <w:r>
              <w:rPr>
                <w:rFonts w:hint="eastAsia" w:ascii="Times New Roman" w:hAnsi="Times New Roman" w:eastAsia="仿宋_GB2312" w:cs="Times New Roman"/>
                <w:color w:val="auto"/>
                <w:sz w:val="24"/>
                <w:szCs w:val="32"/>
                <w:highlight w:val="none"/>
              </w:rPr>
              <w:t>签订贷款合同日期</w:t>
            </w:r>
          </w:p>
        </w:tc>
        <w:tc>
          <w:tcPr>
            <w:tcW w:w="810" w:type="dxa"/>
            <w:vAlign w:val="center"/>
          </w:tcPr>
          <w:p>
            <w:pPr>
              <w:snapToGrid w:val="0"/>
              <w:spacing w:line="440" w:lineRule="exact"/>
              <w:jc w:val="both"/>
              <w:rPr>
                <w:rFonts w:ascii="Times New Roman" w:hAnsi="Times New Roman" w:eastAsia="仿宋_GB2312" w:cs="Times New Roman"/>
                <w:color w:val="auto"/>
                <w:sz w:val="24"/>
                <w:szCs w:val="32"/>
                <w:highlight w:val="none"/>
              </w:rPr>
            </w:pPr>
            <w:r>
              <w:rPr>
                <w:rFonts w:hint="eastAsia" w:ascii="Times New Roman" w:hAnsi="Times New Roman" w:eastAsia="仿宋_GB2312" w:cs="Times New Roman"/>
                <w:color w:val="auto"/>
                <w:sz w:val="24"/>
                <w:szCs w:val="32"/>
                <w:highlight w:val="none"/>
              </w:rPr>
              <w:t>贷款发放日期</w:t>
            </w:r>
          </w:p>
        </w:tc>
        <w:tc>
          <w:tcPr>
            <w:tcW w:w="1200" w:type="dxa"/>
            <w:vAlign w:val="center"/>
          </w:tcPr>
          <w:p>
            <w:pPr>
              <w:snapToGrid w:val="0"/>
              <w:spacing w:line="440" w:lineRule="exact"/>
              <w:jc w:val="both"/>
              <w:rPr>
                <w:rFonts w:ascii="Times New Roman" w:hAnsi="Times New Roman" w:eastAsia="仿宋_GB2312" w:cs="Times New Roman"/>
                <w:color w:val="auto"/>
                <w:sz w:val="24"/>
                <w:szCs w:val="32"/>
                <w:highlight w:val="none"/>
              </w:rPr>
            </w:pPr>
            <w:r>
              <w:rPr>
                <w:rFonts w:hint="eastAsia" w:ascii="Times New Roman" w:hAnsi="Times New Roman" w:eastAsia="仿宋_GB2312" w:cs="Times New Roman"/>
                <w:color w:val="auto"/>
                <w:sz w:val="24"/>
                <w:szCs w:val="32"/>
                <w:highlight w:val="none"/>
              </w:rPr>
              <w:t>贷款金额（万元）</w:t>
            </w:r>
          </w:p>
        </w:tc>
        <w:tc>
          <w:tcPr>
            <w:tcW w:w="795" w:type="dxa"/>
            <w:vAlign w:val="center"/>
          </w:tcPr>
          <w:p>
            <w:pPr>
              <w:snapToGrid w:val="0"/>
              <w:spacing w:line="440" w:lineRule="exact"/>
              <w:jc w:val="both"/>
              <w:rPr>
                <w:rFonts w:ascii="Times New Roman" w:hAnsi="Times New Roman" w:eastAsia="仿宋_GB2312" w:cs="Times New Roman"/>
                <w:color w:val="auto"/>
                <w:sz w:val="24"/>
                <w:szCs w:val="32"/>
                <w:highlight w:val="none"/>
              </w:rPr>
            </w:pPr>
            <w:r>
              <w:rPr>
                <w:rFonts w:hint="eastAsia" w:ascii="Times New Roman" w:hAnsi="Times New Roman" w:eastAsia="仿宋_GB2312" w:cs="Times New Roman"/>
                <w:color w:val="auto"/>
                <w:sz w:val="24"/>
                <w:szCs w:val="32"/>
                <w:highlight w:val="none"/>
              </w:rPr>
              <w:t>贷款利率（%）</w:t>
            </w:r>
          </w:p>
        </w:tc>
        <w:tc>
          <w:tcPr>
            <w:tcW w:w="705" w:type="dxa"/>
            <w:vAlign w:val="center"/>
          </w:tcPr>
          <w:p>
            <w:pPr>
              <w:snapToGrid w:val="0"/>
              <w:spacing w:line="440" w:lineRule="exact"/>
              <w:jc w:val="both"/>
              <w:rPr>
                <w:rFonts w:ascii="Times New Roman" w:hAnsi="Times New Roman" w:eastAsia="仿宋_GB2312" w:cs="Times New Roman"/>
                <w:color w:val="auto"/>
                <w:sz w:val="24"/>
                <w:szCs w:val="32"/>
                <w:highlight w:val="none"/>
              </w:rPr>
            </w:pPr>
            <w:r>
              <w:rPr>
                <w:rFonts w:hint="eastAsia" w:ascii="Times New Roman" w:hAnsi="Times New Roman" w:eastAsia="仿宋_GB2312" w:cs="Times New Roman"/>
                <w:color w:val="auto"/>
                <w:sz w:val="24"/>
                <w:szCs w:val="32"/>
                <w:highlight w:val="none"/>
              </w:rPr>
              <w:t>还款日期</w:t>
            </w:r>
          </w:p>
        </w:tc>
        <w:tc>
          <w:tcPr>
            <w:tcW w:w="1693" w:type="dxa"/>
            <w:vAlign w:val="center"/>
          </w:tcPr>
          <w:p>
            <w:pPr>
              <w:snapToGrid w:val="0"/>
              <w:spacing w:line="440" w:lineRule="exact"/>
              <w:jc w:val="both"/>
              <w:rPr>
                <w:rFonts w:ascii="Times New Roman" w:hAnsi="Times New Roman" w:eastAsia="仿宋_GB2312" w:cs="Times New Roman"/>
                <w:color w:val="auto"/>
                <w:sz w:val="24"/>
                <w:szCs w:val="32"/>
                <w:highlight w:val="none"/>
              </w:rPr>
            </w:pPr>
            <w:r>
              <w:rPr>
                <w:rFonts w:hint="eastAsia" w:ascii="Times New Roman" w:hAnsi="Times New Roman" w:eastAsia="仿宋_GB2312" w:cs="Times New Roman"/>
                <w:color w:val="auto"/>
                <w:sz w:val="24"/>
                <w:szCs w:val="32"/>
                <w:highlight w:val="none"/>
              </w:rPr>
              <w:t>实际支付利息（万元）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78" w:type="dxa"/>
            <w:vAlign w:val="center"/>
          </w:tcPr>
          <w:p>
            <w:pPr>
              <w:snapToGrid w:val="0"/>
              <w:spacing w:line="440" w:lineRule="exact"/>
              <w:jc w:val="both"/>
              <w:rPr>
                <w:rFonts w:ascii="Times New Roman" w:hAnsi="Times New Roman" w:eastAsia="仿宋_GB2312" w:cs="Times New Roman"/>
                <w:color w:val="auto"/>
                <w:sz w:val="24"/>
                <w:szCs w:val="32"/>
                <w:highlight w:val="none"/>
              </w:rPr>
            </w:pPr>
            <w:r>
              <w:rPr>
                <w:rFonts w:hint="eastAsia" w:ascii="Times New Roman" w:hAnsi="Times New Roman" w:eastAsia="仿宋_GB2312" w:cs="Times New Roman"/>
                <w:color w:val="auto"/>
                <w:sz w:val="24"/>
                <w:szCs w:val="32"/>
                <w:highlight w:val="none"/>
              </w:rPr>
              <w:t>1</w:t>
            </w:r>
          </w:p>
        </w:tc>
        <w:tc>
          <w:tcPr>
            <w:tcW w:w="585" w:type="dxa"/>
            <w:vAlign w:val="center"/>
          </w:tcPr>
          <w:p>
            <w:pPr>
              <w:snapToGrid w:val="0"/>
              <w:spacing w:line="440" w:lineRule="exact"/>
              <w:jc w:val="both"/>
              <w:rPr>
                <w:rFonts w:ascii="Times New Roman" w:hAnsi="Times New Roman" w:eastAsia="仿宋_GB2312" w:cs="Times New Roman"/>
                <w:color w:val="auto"/>
                <w:sz w:val="24"/>
                <w:szCs w:val="32"/>
                <w:highlight w:val="none"/>
              </w:rPr>
            </w:pPr>
          </w:p>
        </w:tc>
        <w:tc>
          <w:tcPr>
            <w:tcW w:w="810" w:type="dxa"/>
            <w:vAlign w:val="center"/>
          </w:tcPr>
          <w:p>
            <w:pPr>
              <w:snapToGrid w:val="0"/>
              <w:spacing w:line="440" w:lineRule="exact"/>
              <w:jc w:val="both"/>
              <w:rPr>
                <w:rFonts w:ascii="Times New Roman" w:hAnsi="Times New Roman" w:eastAsia="仿宋_GB2312" w:cs="Times New Roman"/>
                <w:color w:val="auto"/>
                <w:sz w:val="24"/>
                <w:szCs w:val="32"/>
                <w:highlight w:val="none"/>
              </w:rPr>
            </w:pPr>
          </w:p>
        </w:tc>
        <w:tc>
          <w:tcPr>
            <w:tcW w:w="1772" w:type="dxa"/>
            <w:vAlign w:val="center"/>
          </w:tcPr>
          <w:p>
            <w:pPr>
              <w:snapToGrid w:val="0"/>
              <w:spacing w:line="440" w:lineRule="exact"/>
              <w:jc w:val="both"/>
              <w:rPr>
                <w:rFonts w:ascii="Times New Roman" w:hAnsi="Times New Roman" w:eastAsia="仿宋_GB2312" w:cs="Times New Roman"/>
                <w:color w:val="auto"/>
                <w:sz w:val="24"/>
                <w:szCs w:val="32"/>
                <w:highlight w:val="none"/>
              </w:rPr>
            </w:pPr>
          </w:p>
        </w:tc>
        <w:tc>
          <w:tcPr>
            <w:tcW w:w="825" w:type="dxa"/>
            <w:vAlign w:val="center"/>
          </w:tcPr>
          <w:p>
            <w:pPr>
              <w:snapToGrid w:val="0"/>
              <w:spacing w:line="440" w:lineRule="exact"/>
              <w:jc w:val="both"/>
              <w:rPr>
                <w:rFonts w:ascii="Times New Roman" w:hAnsi="Times New Roman" w:eastAsia="仿宋_GB2312" w:cs="Times New Roman"/>
                <w:color w:val="auto"/>
                <w:sz w:val="24"/>
                <w:szCs w:val="32"/>
                <w:highlight w:val="none"/>
              </w:rPr>
            </w:pPr>
          </w:p>
        </w:tc>
        <w:tc>
          <w:tcPr>
            <w:tcW w:w="810" w:type="dxa"/>
            <w:vAlign w:val="center"/>
          </w:tcPr>
          <w:p>
            <w:pPr>
              <w:snapToGrid w:val="0"/>
              <w:spacing w:line="440" w:lineRule="exact"/>
              <w:jc w:val="both"/>
              <w:rPr>
                <w:rFonts w:ascii="Times New Roman" w:hAnsi="Times New Roman" w:eastAsia="仿宋_GB2312" w:cs="Times New Roman"/>
                <w:color w:val="auto"/>
                <w:sz w:val="24"/>
                <w:szCs w:val="32"/>
                <w:highlight w:val="none"/>
              </w:rPr>
            </w:pPr>
          </w:p>
        </w:tc>
        <w:tc>
          <w:tcPr>
            <w:tcW w:w="1200" w:type="dxa"/>
            <w:vAlign w:val="center"/>
          </w:tcPr>
          <w:p>
            <w:pPr>
              <w:snapToGrid w:val="0"/>
              <w:spacing w:line="440" w:lineRule="exact"/>
              <w:jc w:val="both"/>
              <w:rPr>
                <w:rFonts w:ascii="Times New Roman" w:hAnsi="Times New Roman" w:eastAsia="仿宋_GB2312" w:cs="Times New Roman"/>
                <w:color w:val="auto"/>
                <w:sz w:val="24"/>
                <w:szCs w:val="32"/>
                <w:highlight w:val="none"/>
              </w:rPr>
            </w:pPr>
          </w:p>
        </w:tc>
        <w:tc>
          <w:tcPr>
            <w:tcW w:w="795" w:type="dxa"/>
            <w:vAlign w:val="center"/>
          </w:tcPr>
          <w:p>
            <w:pPr>
              <w:snapToGrid w:val="0"/>
              <w:spacing w:line="440" w:lineRule="exact"/>
              <w:jc w:val="both"/>
              <w:rPr>
                <w:rFonts w:ascii="Times New Roman" w:hAnsi="Times New Roman" w:eastAsia="仿宋_GB2312" w:cs="Times New Roman"/>
                <w:color w:val="auto"/>
                <w:sz w:val="24"/>
                <w:szCs w:val="32"/>
                <w:highlight w:val="none"/>
              </w:rPr>
            </w:pPr>
          </w:p>
        </w:tc>
        <w:tc>
          <w:tcPr>
            <w:tcW w:w="705" w:type="dxa"/>
            <w:vAlign w:val="center"/>
          </w:tcPr>
          <w:p>
            <w:pPr>
              <w:snapToGrid w:val="0"/>
              <w:spacing w:line="440" w:lineRule="exact"/>
              <w:jc w:val="both"/>
              <w:rPr>
                <w:rFonts w:ascii="Times New Roman" w:hAnsi="Times New Roman" w:eastAsia="仿宋_GB2312" w:cs="Times New Roman"/>
                <w:color w:val="auto"/>
                <w:sz w:val="24"/>
                <w:szCs w:val="32"/>
                <w:highlight w:val="none"/>
              </w:rPr>
            </w:pPr>
          </w:p>
        </w:tc>
        <w:tc>
          <w:tcPr>
            <w:tcW w:w="1693" w:type="dxa"/>
            <w:vAlign w:val="center"/>
          </w:tcPr>
          <w:p>
            <w:pPr>
              <w:snapToGrid w:val="0"/>
              <w:spacing w:line="440" w:lineRule="exact"/>
              <w:jc w:val="both"/>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78" w:type="dxa"/>
            <w:vAlign w:val="center"/>
          </w:tcPr>
          <w:p>
            <w:pPr>
              <w:snapToGrid w:val="0"/>
              <w:spacing w:line="320" w:lineRule="exact"/>
              <w:jc w:val="both"/>
              <w:rPr>
                <w:rFonts w:ascii="Times New Roman" w:hAnsi="Times New Roman" w:eastAsia="仿宋_GB2312" w:cs="Times New Roman"/>
                <w:color w:val="auto"/>
                <w:sz w:val="24"/>
                <w:szCs w:val="32"/>
                <w:highlight w:val="none"/>
              </w:rPr>
            </w:pPr>
            <w:r>
              <w:rPr>
                <w:rFonts w:hint="eastAsia" w:ascii="Times New Roman" w:hAnsi="Times New Roman" w:eastAsia="仿宋_GB2312" w:cs="Times New Roman"/>
                <w:color w:val="auto"/>
                <w:sz w:val="24"/>
                <w:szCs w:val="32"/>
                <w:highlight w:val="none"/>
              </w:rPr>
              <w:t>2</w:t>
            </w:r>
          </w:p>
        </w:tc>
        <w:tc>
          <w:tcPr>
            <w:tcW w:w="58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810"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1772"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82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810"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1200"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79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70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1693"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78" w:type="dxa"/>
            <w:vAlign w:val="center"/>
          </w:tcPr>
          <w:p>
            <w:pPr>
              <w:snapToGrid w:val="0"/>
              <w:spacing w:line="320" w:lineRule="exact"/>
              <w:jc w:val="both"/>
              <w:rPr>
                <w:rFonts w:ascii="Times New Roman" w:hAnsi="Times New Roman" w:eastAsia="仿宋_GB2312" w:cs="Times New Roman"/>
                <w:color w:val="auto"/>
                <w:sz w:val="24"/>
                <w:szCs w:val="32"/>
                <w:highlight w:val="none"/>
              </w:rPr>
            </w:pPr>
            <w:r>
              <w:rPr>
                <w:rFonts w:hint="eastAsia" w:ascii="Times New Roman" w:hAnsi="Times New Roman" w:eastAsia="仿宋_GB2312" w:cs="Times New Roman"/>
                <w:color w:val="auto"/>
                <w:sz w:val="24"/>
                <w:szCs w:val="32"/>
                <w:highlight w:val="none"/>
              </w:rPr>
              <w:t>3</w:t>
            </w:r>
          </w:p>
        </w:tc>
        <w:tc>
          <w:tcPr>
            <w:tcW w:w="58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810"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1772"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82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810"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1200"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79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70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1693"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78" w:type="dxa"/>
            <w:vAlign w:val="center"/>
          </w:tcPr>
          <w:p>
            <w:pPr>
              <w:snapToGrid w:val="0"/>
              <w:spacing w:line="320" w:lineRule="exact"/>
              <w:jc w:val="both"/>
              <w:rPr>
                <w:rFonts w:ascii="Times New Roman" w:hAnsi="Times New Roman" w:eastAsia="仿宋_GB2312" w:cs="Times New Roman"/>
                <w:color w:val="auto"/>
                <w:sz w:val="24"/>
                <w:szCs w:val="32"/>
                <w:highlight w:val="none"/>
              </w:rPr>
            </w:pPr>
            <w:r>
              <w:rPr>
                <w:rFonts w:hint="eastAsia" w:ascii="Times New Roman" w:hAnsi="Times New Roman" w:eastAsia="仿宋_GB2312" w:cs="Times New Roman"/>
                <w:color w:val="auto"/>
                <w:sz w:val="24"/>
                <w:szCs w:val="32"/>
                <w:highlight w:val="none"/>
              </w:rPr>
              <w:t>4</w:t>
            </w:r>
          </w:p>
        </w:tc>
        <w:tc>
          <w:tcPr>
            <w:tcW w:w="58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810"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1772"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82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810"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1200"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79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70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1693"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78" w:type="dxa"/>
            <w:vAlign w:val="center"/>
          </w:tcPr>
          <w:p>
            <w:pPr>
              <w:snapToGrid w:val="0"/>
              <w:spacing w:line="320" w:lineRule="exact"/>
              <w:jc w:val="both"/>
              <w:rPr>
                <w:rFonts w:ascii="Times New Roman" w:hAnsi="Times New Roman" w:eastAsia="仿宋_GB2312" w:cs="Times New Roman"/>
                <w:color w:val="auto"/>
                <w:sz w:val="24"/>
                <w:szCs w:val="32"/>
                <w:highlight w:val="none"/>
              </w:rPr>
            </w:pPr>
            <w:r>
              <w:rPr>
                <w:rFonts w:hint="eastAsia" w:ascii="Times New Roman" w:hAnsi="Times New Roman" w:eastAsia="仿宋_GB2312" w:cs="Times New Roman"/>
                <w:color w:val="auto"/>
                <w:sz w:val="24"/>
                <w:szCs w:val="32"/>
                <w:highlight w:val="none"/>
              </w:rPr>
              <w:t>5</w:t>
            </w:r>
          </w:p>
        </w:tc>
        <w:tc>
          <w:tcPr>
            <w:tcW w:w="58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810"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1772"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82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810"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1200"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79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70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1693"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78" w:type="dxa"/>
            <w:vAlign w:val="center"/>
          </w:tcPr>
          <w:p>
            <w:pPr>
              <w:snapToGrid w:val="0"/>
              <w:spacing w:line="320" w:lineRule="exact"/>
              <w:jc w:val="both"/>
              <w:rPr>
                <w:rFonts w:ascii="Times New Roman" w:hAnsi="Times New Roman" w:eastAsia="仿宋_GB2312" w:cs="Times New Roman"/>
                <w:color w:val="auto"/>
                <w:sz w:val="24"/>
                <w:szCs w:val="32"/>
                <w:highlight w:val="none"/>
              </w:rPr>
            </w:pPr>
            <w:r>
              <w:rPr>
                <w:rFonts w:hint="eastAsia" w:ascii="Times New Roman" w:hAnsi="Times New Roman" w:eastAsia="仿宋_GB2312" w:cs="Times New Roman"/>
                <w:color w:val="auto"/>
                <w:sz w:val="24"/>
                <w:szCs w:val="32"/>
                <w:highlight w:val="none"/>
              </w:rPr>
              <w:t>6</w:t>
            </w:r>
          </w:p>
        </w:tc>
        <w:tc>
          <w:tcPr>
            <w:tcW w:w="58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810"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1772"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82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810"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1200"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79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70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1693"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78" w:type="dxa"/>
            <w:vAlign w:val="center"/>
          </w:tcPr>
          <w:p>
            <w:pPr>
              <w:snapToGrid w:val="0"/>
              <w:spacing w:line="320" w:lineRule="exact"/>
              <w:jc w:val="both"/>
              <w:rPr>
                <w:rFonts w:ascii="Times New Roman" w:hAnsi="Times New Roman" w:eastAsia="仿宋_GB2312" w:cs="Times New Roman"/>
                <w:color w:val="auto"/>
                <w:sz w:val="24"/>
                <w:szCs w:val="32"/>
                <w:highlight w:val="none"/>
              </w:rPr>
            </w:pPr>
            <w:r>
              <w:rPr>
                <w:rFonts w:hint="eastAsia" w:ascii="Times New Roman" w:hAnsi="Times New Roman" w:eastAsia="仿宋_GB2312" w:cs="Times New Roman"/>
                <w:color w:val="auto"/>
                <w:sz w:val="24"/>
                <w:szCs w:val="32"/>
                <w:highlight w:val="none"/>
              </w:rPr>
              <w:t>7</w:t>
            </w:r>
          </w:p>
        </w:tc>
        <w:tc>
          <w:tcPr>
            <w:tcW w:w="58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810"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1772"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82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810"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1200"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79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70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1693"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78" w:type="dxa"/>
            <w:vAlign w:val="center"/>
          </w:tcPr>
          <w:p>
            <w:pPr>
              <w:snapToGrid w:val="0"/>
              <w:spacing w:line="320" w:lineRule="exact"/>
              <w:jc w:val="both"/>
              <w:rPr>
                <w:rFonts w:ascii="Times New Roman" w:hAnsi="Times New Roman" w:eastAsia="仿宋_GB2312" w:cs="Times New Roman"/>
                <w:color w:val="auto"/>
                <w:sz w:val="24"/>
                <w:szCs w:val="32"/>
                <w:highlight w:val="none"/>
              </w:rPr>
            </w:pPr>
            <w:r>
              <w:rPr>
                <w:rFonts w:hint="eastAsia" w:ascii="Times New Roman" w:hAnsi="Times New Roman" w:eastAsia="仿宋_GB2312" w:cs="Times New Roman"/>
                <w:color w:val="auto"/>
                <w:sz w:val="24"/>
                <w:szCs w:val="32"/>
                <w:highlight w:val="none"/>
              </w:rPr>
              <w:t>8</w:t>
            </w:r>
          </w:p>
        </w:tc>
        <w:tc>
          <w:tcPr>
            <w:tcW w:w="58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810"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1772"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82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810"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1200"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79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70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1693"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78" w:type="dxa"/>
            <w:vAlign w:val="center"/>
          </w:tcPr>
          <w:p>
            <w:pPr>
              <w:snapToGrid w:val="0"/>
              <w:spacing w:line="320" w:lineRule="exact"/>
              <w:jc w:val="both"/>
              <w:rPr>
                <w:rFonts w:ascii="Times New Roman" w:hAnsi="Times New Roman" w:eastAsia="仿宋_GB2312" w:cs="Times New Roman"/>
                <w:color w:val="auto"/>
                <w:sz w:val="24"/>
                <w:szCs w:val="32"/>
                <w:highlight w:val="none"/>
              </w:rPr>
            </w:pPr>
            <w:r>
              <w:rPr>
                <w:rFonts w:hint="eastAsia" w:ascii="Times New Roman" w:hAnsi="Times New Roman" w:eastAsia="仿宋_GB2312" w:cs="Times New Roman"/>
                <w:color w:val="auto"/>
                <w:sz w:val="24"/>
                <w:szCs w:val="32"/>
                <w:highlight w:val="none"/>
              </w:rPr>
              <w:t>9</w:t>
            </w:r>
          </w:p>
        </w:tc>
        <w:tc>
          <w:tcPr>
            <w:tcW w:w="58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810"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1772"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82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810"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1200"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79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70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1693"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78" w:type="dxa"/>
            <w:vAlign w:val="center"/>
          </w:tcPr>
          <w:p>
            <w:pPr>
              <w:snapToGrid w:val="0"/>
              <w:spacing w:line="320" w:lineRule="exact"/>
              <w:jc w:val="both"/>
              <w:rPr>
                <w:rFonts w:ascii="Times New Roman" w:hAnsi="Times New Roman" w:eastAsia="仿宋_GB2312" w:cs="Times New Roman"/>
                <w:color w:val="auto"/>
                <w:sz w:val="24"/>
                <w:szCs w:val="32"/>
                <w:highlight w:val="none"/>
              </w:rPr>
            </w:pPr>
            <w:r>
              <w:rPr>
                <w:rFonts w:hint="eastAsia" w:ascii="Times New Roman" w:hAnsi="Times New Roman" w:eastAsia="仿宋_GB2312" w:cs="Times New Roman"/>
                <w:color w:val="auto"/>
                <w:sz w:val="24"/>
                <w:szCs w:val="32"/>
                <w:highlight w:val="none"/>
              </w:rPr>
              <w:t>10</w:t>
            </w:r>
          </w:p>
        </w:tc>
        <w:tc>
          <w:tcPr>
            <w:tcW w:w="58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810"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1772"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82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810"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1200"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79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70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1693"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873" w:type="dxa"/>
            <w:gridSpan w:val="3"/>
            <w:vAlign w:val="center"/>
          </w:tcPr>
          <w:p>
            <w:pPr>
              <w:snapToGrid w:val="0"/>
              <w:spacing w:line="320" w:lineRule="exact"/>
              <w:jc w:val="both"/>
              <w:rPr>
                <w:rFonts w:ascii="Times New Roman" w:hAnsi="Times New Roman" w:eastAsia="仿宋_GB2312" w:cs="Times New Roman"/>
                <w:color w:val="auto"/>
                <w:sz w:val="24"/>
                <w:szCs w:val="32"/>
                <w:highlight w:val="none"/>
              </w:rPr>
            </w:pPr>
            <w:r>
              <w:rPr>
                <w:rFonts w:hint="eastAsia" w:ascii="Times New Roman" w:hAnsi="Times New Roman" w:eastAsia="仿宋_GB2312" w:cs="Times New Roman"/>
                <w:color w:val="auto"/>
                <w:sz w:val="24"/>
                <w:szCs w:val="32"/>
                <w:highlight w:val="none"/>
              </w:rPr>
              <w:t>合计</w:t>
            </w:r>
          </w:p>
        </w:tc>
        <w:tc>
          <w:tcPr>
            <w:tcW w:w="1772"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82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810"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1200"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79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705"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c>
          <w:tcPr>
            <w:tcW w:w="1693" w:type="dxa"/>
            <w:vAlign w:val="center"/>
          </w:tcPr>
          <w:p>
            <w:pPr>
              <w:snapToGrid w:val="0"/>
              <w:spacing w:line="320" w:lineRule="exact"/>
              <w:jc w:val="both"/>
              <w:rPr>
                <w:rFonts w:ascii="Times New Roman" w:hAnsi="Times New Roman" w:eastAsia="仿宋_GB2312"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873" w:type="dxa"/>
            <w:gridSpan w:val="3"/>
            <w:vAlign w:val="center"/>
          </w:tcPr>
          <w:p>
            <w:pPr>
              <w:snapToGrid w:val="0"/>
              <w:spacing w:line="320" w:lineRule="exact"/>
              <w:jc w:val="both"/>
              <w:rPr>
                <w:rFonts w:ascii="Times New Roman" w:hAnsi="Times New Roman" w:eastAsia="仿宋_GB2312" w:cs="Times New Roman"/>
                <w:color w:val="auto"/>
                <w:sz w:val="24"/>
                <w:szCs w:val="32"/>
                <w:highlight w:val="none"/>
              </w:rPr>
            </w:pPr>
            <w:r>
              <w:rPr>
                <w:rFonts w:hint="eastAsia" w:ascii="Times New Roman" w:hAnsi="Times New Roman" w:eastAsia="仿宋_GB2312" w:cs="Times New Roman"/>
                <w:color w:val="auto"/>
                <w:sz w:val="24"/>
                <w:szCs w:val="32"/>
                <w:highlight w:val="none"/>
              </w:rPr>
              <w:t>合作银行确认</w:t>
            </w:r>
          </w:p>
        </w:tc>
        <w:tc>
          <w:tcPr>
            <w:tcW w:w="7800" w:type="dxa"/>
            <w:gridSpan w:val="7"/>
            <w:vAlign w:val="center"/>
          </w:tcPr>
          <w:p>
            <w:pPr>
              <w:snapToGrid w:val="0"/>
              <w:spacing w:line="320" w:lineRule="exact"/>
              <w:jc w:val="both"/>
              <w:rPr>
                <w:rFonts w:ascii="Times New Roman" w:hAnsi="Times New Roman" w:eastAsia="仿宋_GB2312" w:cs="Times New Roman"/>
                <w:color w:val="auto"/>
                <w:sz w:val="24"/>
                <w:szCs w:val="32"/>
                <w:highlight w:val="none"/>
              </w:rPr>
            </w:pPr>
          </w:p>
          <w:p>
            <w:pPr>
              <w:snapToGrid w:val="0"/>
              <w:spacing w:line="320" w:lineRule="exact"/>
              <w:jc w:val="both"/>
              <w:rPr>
                <w:rFonts w:ascii="Times New Roman" w:hAnsi="Times New Roman" w:eastAsia="仿宋_GB2312" w:cs="Times New Roman"/>
                <w:color w:val="auto"/>
                <w:sz w:val="24"/>
                <w:szCs w:val="32"/>
                <w:highlight w:val="none"/>
              </w:rPr>
            </w:pPr>
          </w:p>
          <w:p>
            <w:pPr>
              <w:snapToGrid w:val="0"/>
              <w:spacing w:line="320" w:lineRule="exact"/>
              <w:jc w:val="both"/>
              <w:rPr>
                <w:rFonts w:ascii="Times New Roman" w:hAnsi="Times New Roman" w:eastAsia="仿宋_GB2312" w:cs="Times New Roman"/>
                <w:color w:val="auto"/>
                <w:sz w:val="24"/>
                <w:szCs w:val="32"/>
                <w:highlight w:val="none"/>
              </w:rPr>
            </w:pPr>
          </w:p>
          <w:p>
            <w:pPr>
              <w:snapToGrid w:val="0"/>
              <w:spacing w:line="320" w:lineRule="exact"/>
              <w:jc w:val="both"/>
              <w:rPr>
                <w:rFonts w:ascii="Times New Roman" w:hAnsi="Times New Roman" w:eastAsia="仿宋_GB2312" w:cs="Times New Roman"/>
                <w:color w:val="auto"/>
                <w:sz w:val="24"/>
                <w:szCs w:val="32"/>
                <w:highlight w:val="none"/>
              </w:rPr>
            </w:pPr>
          </w:p>
        </w:tc>
      </w:tr>
    </w:tbl>
    <w:p>
      <w:pPr>
        <w:snapToGrid w:val="0"/>
        <w:spacing w:line="240" w:lineRule="atLeast"/>
        <w:jc w:val="both"/>
        <w:rPr>
          <w:rFonts w:ascii="微软简标宋" w:hAnsi="Times New Roman" w:eastAsia="微软简标宋" w:cs="Times New Roman"/>
          <w:color w:val="auto"/>
          <w:sz w:val="10"/>
          <w:szCs w:val="10"/>
          <w:highlight w:val="none"/>
        </w:rPr>
      </w:pP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- 9 -</w:t>
                </w:r>
                <w:r>
                  <w:rPr>
                    <w:rFonts w:ascii="Times New Roman" w:hAnsi="Times New Roman" w:cs="Times New Roman"/>
                    <w:sz w:val="32"/>
                    <w:szCs w:val="32"/>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EAC9F3"/>
    <w:multiLevelType w:val="singleLevel"/>
    <w:tmpl w:val="5AEAC9F3"/>
    <w:lvl w:ilvl="0" w:tentative="0">
      <w:start w:val="4"/>
      <w:numFmt w:val="decimal"/>
      <w:suff w:val="space"/>
      <w:lvlText w:val="%1."/>
      <w:lvlJc w:val="left"/>
    </w:lvl>
  </w:abstractNum>
  <w:abstractNum w:abstractNumId="1">
    <w:nsid w:val="5C88B0CC"/>
    <w:multiLevelType w:val="singleLevel"/>
    <w:tmpl w:val="5C88B0CC"/>
    <w:lvl w:ilvl="0" w:tentative="0">
      <w:start w:val="1"/>
      <w:numFmt w:val="chineseCounting"/>
      <w:suff w:val="nothing"/>
      <w:lvlText w:val="（%1）"/>
      <w:lvlJc w:val="left"/>
      <w:pPr>
        <w:ind w:left="0" w:firstLine="420"/>
      </w:pPr>
      <w:rPr>
        <w:rFonts w:hint="eastAsia"/>
      </w:rPr>
    </w:lvl>
  </w:abstractNum>
  <w:abstractNum w:abstractNumId="2">
    <w:nsid w:val="5C88B100"/>
    <w:multiLevelType w:val="singleLevel"/>
    <w:tmpl w:val="5C88B100"/>
    <w:lvl w:ilvl="0" w:tentative="0">
      <w:start w:val="1"/>
      <w:numFmt w:val="chineseCounting"/>
      <w:suff w:val="nothing"/>
      <w:lvlText w:val="（%1）"/>
      <w:lvlJc w:val="left"/>
      <w:pPr>
        <w:ind w:left="0" w:firstLine="420"/>
      </w:pPr>
      <w:rPr>
        <w:rFonts w:hint="eastAsia"/>
      </w:rPr>
    </w:lvl>
  </w:abstractNum>
  <w:abstractNum w:abstractNumId="3">
    <w:nsid w:val="5C88B136"/>
    <w:multiLevelType w:val="singleLevel"/>
    <w:tmpl w:val="5C88B136"/>
    <w:lvl w:ilvl="0" w:tentative="0">
      <w:start w:val="1"/>
      <w:numFmt w:val="chineseCounting"/>
      <w:suff w:val="nothing"/>
      <w:lvlText w:val="（%1）"/>
      <w:lvlJc w:val="left"/>
      <w:pPr>
        <w:ind w:left="0" w:firstLine="420"/>
      </w:pPr>
      <w:rPr>
        <w:rFonts w:hint="eastAsia"/>
      </w:rPr>
    </w:lvl>
  </w:abstractNum>
  <w:abstractNum w:abstractNumId="4">
    <w:nsid w:val="5D71C91B"/>
    <w:multiLevelType w:val="singleLevel"/>
    <w:tmpl w:val="5D71C91B"/>
    <w:lvl w:ilvl="0" w:tentative="0">
      <w:start w:val="5"/>
      <w:numFmt w:val="chineseCounting"/>
      <w:suff w:val="space"/>
      <w:lvlText w:val="第%1章"/>
      <w:lvlJc w:val="left"/>
    </w:lvl>
  </w:abstractNum>
  <w:abstractNum w:abstractNumId="5">
    <w:nsid w:val="5D71C95A"/>
    <w:multiLevelType w:val="singleLevel"/>
    <w:tmpl w:val="5D71C95A"/>
    <w:lvl w:ilvl="0" w:tentative="0">
      <w:start w:val="1"/>
      <w:numFmt w:val="chineseCounting"/>
      <w:suff w:val="nothing"/>
      <w:lvlText w:val="（%1）"/>
      <w:lvlJc w:val="left"/>
    </w:lvl>
  </w:abstractNum>
  <w:abstractNum w:abstractNumId="6">
    <w:nsid w:val="5DB64A64"/>
    <w:multiLevelType w:val="singleLevel"/>
    <w:tmpl w:val="5DB64A64"/>
    <w:lvl w:ilvl="0" w:tentative="0">
      <w:start w:val="4"/>
      <w:numFmt w:val="chineseCounting"/>
      <w:suff w:val="nothing"/>
      <w:lvlText w:val="（%1）"/>
      <w:lvlJc w:val="left"/>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C0594"/>
    <w:rsid w:val="0000306D"/>
    <w:rsid w:val="000264F5"/>
    <w:rsid w:val="00070E9F"/>
    <w:rsid w:val="000757AC"/>
    <w:rsid w:val="001C07F1"/>
    <w:rsid w:val="001D62E8"/>
    <w:rsid w:val="00263FA0"/>
    <w:rsid w:val="00450052"/>
    <w:rsid w:val="0047382B"/>
    <w:rsid w:val="00516950"/>
    <w:rsid w:val="005647F7"/>
    <w:rsid w:val="00591FDD"/>
    <w:rsid w:val="0062370F"/>
    <w:rsid w:val="006252BE"/>
    <w:rsid w:val="0066741D"/>
    <w:rsid w:val="0074744A"/>
    <w:rsid w:val="007B304C"/>
    <w:rsid w:val="007C0594"/>
    <w:rsid w:val="00874141"/>
    <w:rsid w:val="009660E9"/>
    <w:rsid w:val="009B4344"/>
    <w:rsid w:val="00A4268C"/>
    <w:rsid w:val="00B14CF4"/>
    <w:rsid w:val="00BB6246"/>
    <w:rsid w:val="00BD3DED"/>
    <w:rsid w:val="00CD3F5A"/>
    <w:rsid w:val="00DE0EC0"/>
    <w:rsid w:val="00E31825"/>
    <w:rsid w:val="00FB6688"/>
    <w:rsid w:val="01965681"/>
    <w:rsid w:val="01EC57C2"/>
    <w:rsid w:val="01F24AAF"/>
    <w:rsid w:val="020A2EC7"/>
    <w:rsid w:val="0213135B"/>
    <w:rsid w:val="022B6913"/>
    <w:rsid w:val="025D31A0"/>
    <w:rsid w:val="026C65DD"/>
    <w:rsid w:val="028C5392"/>
    <w:rsid w:val="02AD40A2"/>
    <w:rsid w:val="02D5796B"/>
    <w:rsid w:val="02D66B64"/>
    <w:rsid w:val="03181ECF"/>
    <w:rsid w:val="031A1D1D"/>
    <w:rsid w:val="035135E6"/>
    <w:rsid w:val="03C205D4"/>
    <w:rsid w:val="04C446F4"/>
    <w:rsid w:val="050A191E"/>
    <w:rsid w:val="05426067"/>
    <w:rsid w:val="054B158C"/>
    <w:rsid w:val="057F73A8"/>
    <w:rsid w:val="05A74836"/>
    <w:rsid w:val="062A4203"/>
    <w:rsid w:val="064F3DD1"/>
    <w:rsid w:val="06B37D92"/>
    <w:rsid w:val="07122464"/>
    <w:rsid w:val="0751554C"/>
    <w:rsid w:val="07C83A1B"/>
    <w:rsid w:val="07E81845"/>
    <w:rsid w:val="084220A1"/>
    <w:rsid w:val="08EF1B07"/>
    <w:rsid w:val="09031E4C"/>
    <w:rsid w:val="09FA79CC"/>
    <w:rsid w:val="0A8F20DB"/>
    <w:rsid w:val="0AE96EBF"/>
    <w:rsid w:val="0BBE08BD"/>
    <w:rsid w:val="0BBF4D03"/>
    <w:rsid w:val="0CBE6345"/>
    <w:rsid w:val="0D2F3BD3"/>
    <w:rsid w:val="0D6E4498"/>
    <w:rsid w:val="0DC47C91"/>
    <w:rsid w:val="0DF429AB"/>
    <w:rsid w:val="0E3D3896"/>
    <w:rsid w:val="0E4015FE"/>
    <w:rsid w:val="0E680AFE"/>
    <w:rsid w:val="0E9C4291"/>
    <w:rsid w:val="0E9E5AE8"/>
    <w:rsid w:val="0F8D2022"/>
    <w:rsid w:val="0FD92767"/>
    <w:rsid w:val="0FFB3E90"/>
    <w:rsid w:val="0FFC1FDF"/>
    <w:rsid w:val="113C678E"/>
    <w:rsid w:val="114721C3"/>
    <w:rsid w:val="11A523DC"/>
    <w:rsid w:val="12745A5F"/>
    <w:rsid w:val="135C08ED"/>
    <w:rsid w:val="13726AD4"/>
    <w:rsid w:val="140509B6"/>
    <w:rsid w:val="14D50986"/>
    <w:rsid w:val="14FC037F"/>
    <w:rsid w:val="152E0074"/>
    <w:rsid w:val="1599191F"/>
    <w:rsid w:val="15FD229F"/>
    <w:rsid w:val="16136848"/>
    <w:rsid w:val="16307BAF"/>
    <w:rsid w:val="163877FE"/>
    <w:rsid w:val="164F017A"/>
    <w:rsid w:val="16732A8B"/>
    <w:rsid w:val="16763F03"/>
    <w:rsid w:val="16A402CF"/>
    <w:rsid w:val="16B15EDC"/>
    <w:rsid w:val="177424E7"/>
    <w:rsid w:val="17895C45"/>
    <w:rsid w:val="17FF0D6E"/>
    <w:rsid w:val="18436A77"/>
    <w:rsid w:val="18532F86"/>
    <w:rsid w:val="18907090"/>
    <w:rsid w:val="18A222EE"/>
    <w:rsid w:val="18A96259"/>
    <w:rsid w:val="18B3496E"/>
    <w:rsid w:val="19416F5E"/>
    <w:rsid w:val="1957516B"/>
    <w:rsid w:val="19F761B4"/>
    <w:rsid w:val="1AED6A3B"/>
    <w:rsid w:val="1B0368A6"/>
    <w:rsid w:val="1B833677"/>
    <w:rsid w:val="1B930A67"/>
    <w:rsid w:val="1BD85360"/>
    <w:rsid w:val="1BE05786"/>
    <w:rsid w:val="1C1256E9"/>
    <w:rsid w:val="1C97284B"/>
    <w:rsid w:val="1CC54176"/>
    <w:rsid w:val="1CF67EB2"/>
    <w:rsid w:val="1D187F3F"/>
    <w:rsid w:val="1D4D16D2"/>
    <w:rsid w:val="1D5C21E1"/>
    <w:rsid w:val="1EBF2844"/>
    <w:rsid w:val="1F56429F"/>
    <w:rsid w:val="1FDE0EB6"/>
    <w:rsid w:val="1FFD54C1"/>
    <w:rsid w:val="205F0933"/>
    <w:rsid w:val="20667861"/>
    <w:rsid w:val="20A80411"/>
    <w:rsid w:val="20D552CB"/>
    <w:rsid w:val="21220E36"/>
    <w:rsid w:val="216F5FEC"/>
    <w:rsid w:val="21B41BE3"/>
    <w:rsid w:val="22082110"/>
    <w:rsid w:val="22A209E2"/>
    <w:rsid w:val="22B46513"/>
    <w:rsid w:val="22B64A83"/>
    <w:rsid w:val="22BE05DF"/>
    <w:rsid w:val="22C934DB"/>
    <w:rsid w:val="23B6416C"/>
    <w:rsid w:val="24800E75"/>
    <w:rsid w:val="25C72E20"/>
    <w:rsid w:val="26587284"/>
    <w:rsid w:val="26873DED"/>
    <w:rsid w:val="2698296B"/>
    <w:rsid w:val="26AB2C1B"/>
    <w:rsid w:val="26B62260"/>
    <w:rsid w:val="26EF1DA4"/>
    <w:rsid w:val="272F24E7"/>
    <w:rsid w:val="279E1002"/>
    <w:rsid w:val="27B44AF4"/>
    <w:rsid w:val="27B84BF2"/>
    <w:rsid w:val="28283A18"/>
    <w:rsid w:val="28863EA1"/>
    <w:rsid w:val="288D0D3F"/>
    <w:rsid w:val="28B51969"/>
    <w:rsid w:val="295502D5"/>
    <w:rsid w:val="2959710C"/>
    <w:rsid w:val="2A9656C3"/>
    <w:rsid w:val="2AE84405"/>
    <w:rsid w:val="2B6B72D4"/>
    <w:rsid w:val="2B977CA8"/>
    <w:rsid w:val="2BB07001"/>
    <w:rsid w:val="2C94400B"/>
    <w:rsid w:val="2CEE191B"/>
    <w:rsid w:val="2D1C4652"/>
    <w:rsid w:val="2D2A5385"/>
    <w:rsid w:val="2D4C4F72"/>
    <w:rsid w:val="2DAE71F0"/>
    <w:rsid w:val="2DB171DC"/>
    <w:rsid w:val="2DCC6DF7"/>
    <w:rsid w:val="2E04757C"/>
    <w:rsid w:val="2E5C3018"/>
    <w:rsid w:val="2F155A69"/>
    <w:rsid w:val="2F9E7EA7"/>
    <w:rsid w:val="2FE2793A"/>
    <w:rsid w:val="302C143F"/>
    <w:rsid w:val="305B52B3"/>
    <w:rsid w:val="306F6723"/>
    <w:rsid w:val="3070258E"/>
    <w:rsid w:val="31A4574A"/>
    <w:rsid w:val="31AC410A"/>
    <w:rsid w:val="32924223"/>
    <w:rsid w:val="32982B5B"/>
    <w:rsid w:val="32A636EC"/>
    <w:rsid w:val="33701946"/>
    <w:rsid w:val="33BD278D"/>
    <w:rsid w:val="33F31246"/>
    <w:rsid w:val="34435936"/>
    <w:rsid w:val="34A34DE4"/>
    <w:rsid w:val="354D7334"/>
    <w:rsid w:val="356674BD"/>
    <w:rsid w:val="358314DB"/>
    <w:rsid w:val="35C76720"/>
    <w:rsid w:val="35CE21A0"/>
    <w:rsid w:val="35E67442"/>
    <w:rsid w:val="361A23F7"/>
    <w:rsid w:val="36522FD6"/>
    <w:rsid w:val="36AE57FF"/>
    <w:rsid w:val="36FF053D"/>
    <w:rsid w:val="36FF4E0E"/>
    <w:rsid w:val="371231C4"/>
    <w:rsid w:val="37782CE6"/>
    <w:rsid w:val="378F605F"/>
    <w:rsid w:val="37922FA8"/>
    <w:rsid w:val="380C3E96"/>
    <w:rsid w:val="386A7740"/>
    <w:rsid w:val="3876527E"/>
    <w:rsid w:val="38A53C5E"/>
    <w:rsid w:val="38C24570"/>
    <w:rsid w:val="38D5025D"/>
    <w:rsid w:val="39445E2D"/>
    <w:rsid w:val="3A225982"/>
    <w:rsid w:val="3ABA59AF"/>
    <w:rsid w:val="3AF1465D"/>
    <w:rsid w:val="3B381D32"/>
    <w:rsid w:val="3B6B7902"/>
    <w:rsid w:val="3B7A7806"/>
    <w:rsid w:val="3BA05407"/>
    <w:rsid w:val="3BB842A6"/>
    <w:rsid w:val="3BDC0240"/>
    <w:rsid w:val="3BE62240"/>
    <w:rsid w:val="3BED0A68"/>
    <w:rsid w:val="3BFB6C58"/>
    <w:rsid w:val="3CCB0582"/>
    <w:rsid w:val="3D2B7518"/>
    <w:rsid w:val="3D4424A4"/>
    <w:rsid w:val="3E144608"/>
    <w:rsid w:val="3E4E503D"/>
    <w:rsid w:val="3E946508"/>
    <w:rsid w:val="3EAE5362"/>
    <w:rsid w:val="3F565B9A"/>
    <w:rsid w:val="3FE36B98"/>
    <w:rsid w:val="40155935"/>
    <w:rsid w:val="403E64F8"/>
    <w:rsid w:val="404D2E8C"/>
    <w:rsid w:val="405E4AEF"/>
    <w:rsid w:val="40734C52"/>
    <w:rsid w:val="40893C4A"/>
    <w:rsid w:val="40BB3C73"/>
    <w:rsid w:val="410D209C"/>
    <w:rsid w:val="4147490C"/>
    <w:rsid w:val="419A62B2"/>
    <w:rsid w:val="41AC2605"/>
    <w:rsid w:val="4211759E"/>
    <w:rsid w:val="423A3E4E"/>
    <w:rsid w:val="42702BEC"/>
    <w:rsid w:val="4295338F"/>
    <w:rsid w:val="43364C47"/>
    <w:rsid w:val="43456839"/>
    <w:rsid w:val="434B09E0"/>
    <w:rsid w:val="43707713"/>
    <w:rsid w:val="43A23CAC"/>
    <w:rsid w:val="44482144"/>
    <w:rsid w:val="445B42B5"/>
    <w:rsid w:val="449E2835"/>
    <w:rsid w:val="44A108A0"/>
    <w:rsid w:val="45D964C7"/>
    <w:rsid w:val="46197DD1"/>
    <w:rsid w:val="461E0464"/>
    <w:rsid w:val="46387C6A"/>
    <w:rsid w:val="46541E68"/>
    <w:rsid w:val="46DF7CF4"/>
    <w:rsid w:val="473E5C2C"/>
    <w:rsid w:val="47772D9B"/>
    <w:rsid w:val="47CA3050"/>
    <w:rsid w:val="47E22A6F"/>
    <w:rsid w:val="47E767C9"/>
    <w:rsid w:val="481403F7"/>
    <w:rsid w:val="482F4F79"/>
    <w:rsid w:val="488B6D61"/>
    <w:rsid w:val="48E215E0"/>
    <w:rsid w:val="49442E0F"/>
    <w:rsid w:val="49B035AA"/>
    <w:rsid w:val="49BE6C33"/>
    <w:rsid w:val="4A206FEB"/>
    <w:rsid w:val="4AC77757"/>
    <w:rsid w:val="4B377D72"/>
    <w:rsid w:val="4B4817DA"/>
    <w:rsid w:val="4B672A30"/>
    <w:rsid w:val="4BD13C65"/>
    <w:rsid w:val="4CDE39A2"/>
    <w:rsid w:val="4D2C0C03"/>
    <w:rsid w:val="4D4603A5"/>
    <w:rsid w:val="4D9D430D"/>
    <w:rsid w:val="4DA12408"/>
    <w:rsid w:val="4DC97CE8"/>
    <w:rsid w:val="4E3A486D"/>
    <w:rsid w:val="4E4E2E77"/>
    <w:rsid w:val="4EA22FB2"/>
    <w:rsid w:val="4EAB44E3"/>
    <w:rsid w:val="4EB47D42"/>
    <w:rsid w:val="4EE927E4"/>
    <w:rsid w:val="4EFC5D7D"/>
    <w:rsid w:val="4F3646DC"/>
    <w:rsid w:val="4FAA4055"/>
    <w:rsid w:val="4FD34640"/>
    <w:rsid w:val="4FEC407B"/>
    <w:rsid w:val="50042875"/>
    <w:rsid w:val="502D463F"/>
    <w:rsid w:val="50501A54"/>
    <w:rsid w:val="50617D57"/>
    <w:rsid w:val="50B105CE"/>
    <w:rsid w:val="5103479B"/>
    <w:rsid w:val="511C7497"/>
    <w:rsid w:val="512F3F41"/>
    <w:rsid w:val="51656C7F"/>
    <w:rsid w:val="52312EEF"/>
    <w:rsid w:val="523B4AE8"/>
    <w:rsid w:val="52C10C36"/>
    <w:rsid w:val="52D43936"/>
    <w:rsid w:val="52DC6EC8"/>
    <w:rsid w:val="52F4242C"/>
    <w:rsid w:val="53342794"/>
    <w:rsid w:val="534B5B3B"/>
    <w:rsid w:val="537018AC"/>
    <w:rsid w:val="541C023D"/>
    <w:rsid w:val="543D6558"/>
    <w:rsid w:val="54422268"/>
    <w:rsid w:val="54E00795"/>
    <w:rsid w:val="54FA6301"/>
    <w:rsid w:val="55DF61F3"/>
    <w:rsid w:val="56E94A6A"/>
    <w:rsid w:val="572B416B"/>
    <w:rsid w:val="577974EF"/>
    <w:rsid w:val="57AC3429"/>
    <w:rsid w:val="58B416D8"/>
    <w:rsid w:val="595F2036"/>
    <w:rsid w:val="596553F9"/>
    <w:rsid w:val="5A025E7A"/>
    <w:rsid w:val="5A162AE7"/>
    <w:rsid w:val="5A2545F9"/>
    <w:rsid w:val="5A435445"/>
    <w:rsid w:val="5A476C0E"/>
    <w:rsid w:val="5AA52984"/>
    <w:rsid w:val="5AD617E3"/>
    <w:rsid w:val="5BB0244C"/>
    <w:rsid w:val="5BB16EFD"/>
    <w:rsid w:val="5C9578DF"/>
    <w:rsid w:val="5C9E63E7"/>
    <w:rsid w:val="5CD93B40"/>
    <w:rsid w:val="5CF26386"/>
    <w:rsid w:val="5D443C38"/>
    <w:rsid w:val="5D5C3C9B"/>
    <w:rsid w:val="5D6C4122"/>
    <w:rsid w:val="5D7E0F9F"/>
    <w:rsid w:val="5DBD1702"/>
    <w:rsid w:val="5E1203D8"/>
    <w:rsid w:val="5E1A075C"/>
    <w:rsid w:val="5EA10126"/>
    <w:rsid w:val="5EA4321C"/>
    <w:rsid w:val="5F767C45"/>
    <w:rsid w:val="5F8F1951"/>
    <w:rsid w:val="60451E56"/>
    <w:rsid w:val="60B84F93"/>
    <w:rsid w:val="617033DE"/>
    <w:rsid w:val="61891494"/>
    <w:rsid w:val="61C5768D"/>
    <w:rsid w:val="61F96871"/>
    <w:rsid w:val="62355241"/>
    <w:rsid w:val="62F24D05"/>
    <w:rsid w:val="63D469F1"/>
    <w:rsid w:val="63D91DC1"/>
    <w:rsid w:val="642D654F"/>
    <w:rsid w:val="644D688E"/>
    <w:rsid w:val="64EE7DF1"/>
    <w:rsid w:val="65134EC5"/>
    <w:rsid w:val="659A12C4"/>
    <w:rsid w:val="66FD005A"/>
    <w:rsid w:val="67203D81"/>
    <w:rsid w:val="67326194"/>
    <w:rsid w:val="674316BB"/>
    <w:rsid w:val="678E66D3"/>
    <w:rsid w:val="67F100AF"/>
    <w:rsid w:val="67F873EB"/>
    <w:rsid w:val="687E3E00"/>
    <w:rsid w:val="68CB6310"/>
    <w:rsid w:val="692E7582"/>
    <w:rsid w:val="6B14460E"/>
    <w:rsid w:val="6B36763E"/>
    <w:rsid w:val="6B4B0E2D"/>
    <w:rsid w:val="6B5863DA"/>
    <w:rsid w:val="6C0D5D7F"/>
    <w:rsid w:val="6C5A417B"/>
    <w:rsid w:val="6CF627F9"/>
    <w:rsid w:val="6CF718ED"/>
    <w:rsid w:val="6D0C26B0"/>
    <w:rsid w:val="6D6C501D"/>
    <w:rsid w:val="6E2F3080"/>
    <w:rsid w:val="6E876B9A"/>
    <w:rsid w:val="6E8C6631"/>
    <w:rsid w:val="6F662531"/>
    <w:rsid w:val="6FF85B04"/>
    <w:rsid w:val="702D3FFA"/>
    <w:rsid w:val="70B45655"/>
    <w:rsid w:val="70BE1A58"/>
    <w:rsid w:val="70CB134C"/>
    <w:rsid w:val="71AF2F99"/>
    <w:rsid w:val="71C108F1"/>
    <w:rsid w:val="71E10FF1"/>
    <w:rsid w:val="71EA178A"/>
    <w:rsid w:val="71F523D9"/>
    <w:rsid w:val="721F0C40"/>
    <w:rsid w:val="72262FA9"/>
    <w:rsid w:val="724D64C2"/>
    <w:rsid w:val="72702EFC"/>
    <w:rsid w:val="731151C1"/>
    <w:rsid w:val="73283DF0"/>
    <w:rsid w:val="7338141F"/>
    <w:rsid w:val="734F53C1"/>
    <w:rsid w:val="73D115F4"/>
    <w:rsid w:val="73F05DD5"/>
    <w:rsid w:val="74734B11"/>
    <w:rsid w:val="750A7BB6"/>
    <w:rsid w:val="75485EBC"/>
    <w:rsid w:val="75B24C9D"/>
    <w:rsid w:val="761E187A"/>
    <w:rsid w:val="7671304D"/>
    <w:rsid w:val="76C176AE"/>
    <w:rsid w:val="76C66515"/>
    <w:rsid w:val="779D5107"/>
    <w:rsid w:val="77B876CA"/>
    <w:rsid w:val="77F2589F"/>
    <w:rsid w:val="780850D0"/>
    <w:rsid w:val="785F7EB9"/>
    <w:rsid w:val="78B16EC4"/>
    <w:rsid w:val="79443648"/>
    <w:rsid w:val="79446E02"/>
    <w:rsid w:val="79452451"/>
    <w:rsid w:val="798014A4"/>
    <w:rsid w:val="7A63121A"/>
    <w:rsid w:val="7A995BB8"/>
    <w:rsid w:val="7AD46A4D"/>
    <w:rsid w:val="7B076A6B"/>
    <w:rsid w:val="7B130610"/>
    <w:rsid w:val="7B466883"/>
    <w:rsid w:val="7B5D2B42"/>
    <w:rsid w:val="7BA7588A"/>
    <w:rsid w:val="7C37243D"/>
    <w:rsid w:val="7C397A27"/>
    <w:rsid w:val="7CAB5C76"/>
    <w:rsid w:val="7D4E15B8"/>
    <w:rsid w:val="7DD9196E"/>
    <w:rsid w:val="7DEB4D5E"/>
    <w:rsid w:val="7E131322"/>
    <w:rsid w:val="7E232467"/>
    <w:rsid w:val="7ED05035"/>
    <w:rsid w:val="7FAB03B4"/>
    <w:rsid w:val="7FE50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13"/>
    <w:qFormat/>
    <w:uiPriority w:val="0"/>
    <w:pPr>
      <w:widowControl w:val="0"/>
      <w:autoSpaceDE w:val="0"/>
      <w:autoSpaceDN w:val="0"/>
      <w:adjustRightInd w:val="0"/>
      <w:snapToGrid w:val="0"/>
      <w:spacing w:line="276" w:lineRule="auto"/>
      <w:jc w:val="center"/>
      <w:outlineLvl w:val="0"/>
    </w:pPr>
    <w:rPr>
      <w:rFonts w:ascii="Times New Roman" w:hAnsi="Times New Roman" w:eastAsia="方正小标宋简体" w:cs="Times New Roman"/>
      <w:bCs/>
      <w:snapToGrid w:val="0"/>
      <w:kern w:val="44"/>
      <w:sz w:val="44"/>
      <w:szCs w:val="4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0"/>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szCs w:val="32"/>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qFormat/>
    <w:uiPriority w:val="0"/>
    <w:rPr>
      <w:rFonts w:ascii="Times New Roman" w:hAnsi="Times New Roman" w:eastAsia="方正仿宋简体"/>
      <w:color w:val="auto"/>
      <w:spacing w:val="0"/>
      <w:w w:val="100"/>
      <w:kern w:val="28"/>
      <w:position w:val="0"/>
      <w:sz w:val="28"/>
      <w:u w:val="none"/>
      <w:vertAlign w:val="baseline"/>
    </w:rPr>
  </w:style>
  <w:style w:type="character" w:styleId="10">
    <w:name w:val="FollowedHyperlink"/>
    <w:basedOn w:val="8"/>
    <w:unhideWhenUsed/>
    <w:qFormat/>
    <w:uiPriority w:val="99"/>
    <w:rPr>
      <w:color w:val="333333"/>
      <w:u w:val="none"/>
    </w:rPr>
  </w:style>
  <w:style w:type="character" w:styleId="11">
    <w:name w:val="Hyperlink"/>
    <w:basedOn w:val="8"/>
    <w:unhideWhenUsed/>
    <w:qFormat/>
    <w:uiPriority w:val="99"/>
    <w:rPr>
      <w:color w:val="333333"/>
      <w:u w:val="none"/>
    </w:rPr>
  </w:style>
  <w:style w:type="character" w:customStyle="1" w:styleId="12">
    <w:name w:val="页脚 Char"/>
    <w:basedOn w:val="8"/>
    <w:link w:val="3"/>
    <w:qFormat/>
    <w:uiPriority w:val="0"/>
    <w:rPr>
      <w:sz w:val="18"/>
      <w:szCs w:val="18"/>
    </w:rPr>
  </w:style>
  <w:style w:type="character" w:customStyle="1" w:styleId="13">
    <w:name w:val="标题 1 Char"/>
    <w:basedOn w:val="8"/>
    <w:link w:val="2"/>
    <w:qFormat/>
    <w:uiPriority w:val="0"/>
    <w:rPr>
      <w:rFonts w:ascii="Times New Roman" w:hAnsi="Times New Roman" w:eastAsia="方正小标宋简体" w:cs="Times New Roman"/>
      <w:bCs/>
      <w:snapToGrid w:val="0"/>
      <w:kern w:val="44"/>
      <w:sz w:val="44"/>
      <w:szCs w:val="44"/>
    </w:rPr>
  </w:style>
  <w:style w:type="character" w:customStyle="1" w:styleId="14">
    <w:name w:val="页眉 Char"/>
    <w:basedOn w:val="8"/>
    <w:link w:val="4"/>
    <w:qFormat/>
    <w:uiPriority w:val="0"/>
    <w:rPr>
      <w:rFonts w:ascii="Calibri" w:hAnsi="Calibri" w:eastAsia="宋体" w:cs="Times New Roman"/>
      <w:sz w:val="18"/>
      <w:szCs w:val="18"/>
    </w:rPr>
  </w:style>
  <w:style w:type="paragraph" w:customStyle="1" w:styleId="15">
    <w:name w:val="列出段落1"/>
    <w:basedOn w:val="1"/>
    <w:qFormat/>
    <w:uiPriority w:val="0"/>
    <w:pPr>
      <w:ind w:firstLine="420" w:firstLineChars="200"/>
    </w:pPr>
    <w:rPr>
      <w:rFonts w:ascii="Calibri" w:hAnsi="Calibri"/>
    </w:rPr>
  </w:style>
  <w:style w:type="paragraph" w:customStyle="1" w:styleId="16">
    <w:name w:val="列出段落2"/>
    <w:basedOn w:val="1"/>
    <w:qFormat/>
    <w:uiPriority w:val="0"/>
    <w:pPr>
      <w:ind w:firstLine="420" w:firstLineChars="200"/>
    </w:pPr>
    <w:rPr>
      <w:rFonts w:ascii="Calibri" w:hAnsi="Calibri" w:cs="Calibri"/>
      <w:szCs w:val="21"/>
    </w:rPr>
  </w:style>
  <w:style w:type="character" w:customStyle="1" w:styleId="17">
    <w:name w:val="10"/>
    <w:basedOn w:val="8"/>
    <w:qFormat/>
    <w:uiPriority w:val="0"/>
    <w:rPr>
      <w:rFonts w:hint="default" w:ascii="Times New Roman" w:hAnsi="Times New Roman" w:cs="Times New Roman"/>
    </w:rPr>
  </w:style>
  <w:style w:type="character" w:customStyle="1" w:styleId="18">
    <w:name w:val="15"/>
    <w:basedOn w:val="8"/>
    <w:qFormat/>
    <w:uiPriority w:val="0"/>
    <w:rPr>
      <w:rFonts w:hint="default" w:ascii="Times New Roman" w:hAnsi="Times New Roman" w:cs="Times New Roman"/>
      <w:color w:val="0000FF"/>
      <w:u w:val="single"/>
    </w:rPr>
  </w:style>
  <w:style w:type="paragraph" w:customStyle="1" w:styleId="19">
    <w:name w:val="列出段落3"/>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1344</Words>
  <Characters>7661</Characters>
  <Lines>63</Lines>
  <Paragraphs>17</Paragraphs>
  <TotalTime>2</TotalTime>
  <ScaleCrop>false</ScaleCrop>
  <LinksUpToDate>false</LinksUpToDate>
  <CharactersWithSpaces>8988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2019-09-05T03:37:00Z</dcterms:created>
  <dc:creator>Admin</dc:creator>
  <cp:lastModifiedBy>Administrator</cp:lastModifiedBy>
  <cp:lastPrinted>2019-10-28T03:44:00Z</cp:lastPrinted>
  <dcterms:modified xsi:type="dcterms:W3CDTF">2024-03-14T08:41:02Z</dcterms:modified>
  <dc:title>中山火炬开发区党政办公室文件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anid">
    <vt:lpwstr>E11355FA917B44D5B2A809B925FE10A8</vt:lpwstr>
  </property>
  <property fmtid="{D5CDD505-2E9C-101B-9397-08002B2CF9AE}" pid="3" name="KSOProductBuildVer">
    <vt:lpwstr>2052-11.8.2.11718</vt:lpwstr>
  </property>
  <property fmtid="{D5CDD505-2E9C-101B-9397-08002B2CF9AE}" pid="4" name="ICV">
    <vt:lpwstr>A8371BED91644F4FA6CAC6724F8B0D46</vt:lpwstr>
  </property>
</Properties>
</file>