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bookmarkStart w:id="0" w:name="_GoBack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中山市全亿贸易发展有限公司</w:t>
      </w:r>
      <w:bookmarkEnd w:id="0"/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4337050" cy="2797810"/>
            <wp:effectExtent l="0" t="0" r="6350" b="2540"/>
            <wp:docPr id="1" name="图片 1" descr="控规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中山市全亿贸易发展有限公司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中府国用（2006）第040024号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中山市全亿贸易发展有限公司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25684.36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码：E-1-11-34。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工业用地，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无约定。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E-1-11-34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涉及降雨量：≥12.7mm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配套要求：10KV开关站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06B6A7A"/>
    <w:rsid w:val="313F3437"/>
    <w:rsid w:val="31A10D8D"/>
    <w:rsid w:val="36AE5415"/>
    <w:rsid w:val="36D72A86"/>
    <w:rsid w:val="37D55DA6"/>
    <w:rsid w:val="391E1CDA"/>
    <w:rsid w:val="39D817E8"/>
    <w:rsid w:val="3CBF7272"/>
    <w:rsid w:val="3EB00D5B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EC56FB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2024-01-30T06:06:00Z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DBC9647A70F048E7802BFD6EA49DDA6B</vt:lpwstr>
  </property>
</Properties>
</file>