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w:t>
      </w:r>
      <w:r>
        <w:rPr>
          <w:rFonts w:hint="eastAsia" w:ascii="方正小标宋_GBK" w:hAnsi="方正小标宋_GBK" w:eastAsia="方正小标宋_GBK"/>
          <w:b w:val="0"/>
          <w:bCs w:val="0"/>
          <w:sz w:val="30"/>
        </w:rPr>
        <w:t>）义务教育领域基层政务公开标准目录</w:t>
      </w:r>
      <w:bookmarkEnd w:id="0"/>
      <w:r>
        <w:rPr>
          <w:rFonts w:hint="eastAsia" w:ascii="方正小标宋_GBK" w:hAnsi="方正小标宋_GBK" w:eastAsia="方正小标宋_GBK"/>
          <w:b w:val="0"/>
          <w:bCs w:val="0"/>
          <w:sz w:val="30"/>
        </w:rPr>
        <w:t>（2022年度）</w:t>
      </w:r>
      <w:bookmarkStart w:id="1" w:name="_GoBack"/>
      <w:bookmarkEnd w:id="1"/>
    </w:p>
    <w:tbl>
      <w:tblPr>
        <w:tblStyle w:val="3"/>
        <w:tblW w:w="1554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5"/>
        <w:gridCol w:w="1125"/>
        <w:gridCol w:w="2220"/>
        <w:gridCol w:w="2230"/>
        <w:gridCol w:w="1620"/>
        <w:gridCol w:w="900"/>
        <w:gridCol w:w="2160"/>
        <w:gridCol w:w="540"/>
        <w:gridCol w:w="709"/>
        <w:gridCol w:w="11"/>
        <w:gridCol w:w="540"/>
        <w:gridCol w:w="720"/>
        <w:gridCol w:w="72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540" w:type="dxa"/>
            <w:vMerge w:val="restart"/>
            <w:vAlign w:val="center"/>
          </w:tcPr>
          <w:p>
            <w:pPr>
              <w:widowControl/>
              <w:jc w:val="center"/>
              <w:rPr>
                <w:rFonts w:hint="eastAsia" w:ascii="黑体" w:hAnsi="Times New Roman" w:eastAsia="黑体"/>
                <w:color w:val="auto"/>
                <w:kern w:val="0"/>
                <w:sz w:val="22"/>
                <w:highlight w:val="none"/>
              </w:rPr>
            </w:pPr>
            <w:r>
              <w:rPr>
                <w:rFonts w:hint="eastAsia" w:ascii="黑体" w:hAnsi="宋体" w:eastAsia="黑体"/>
                <w:color w:val="auto"/>
                <w:kern w:val="0"/>
                <w:sz w:val="22"/>
                <w:highlight w:val="none"/>
              </w:rPr>
              <w:t>序号</w:t>
            </w:r>
          </w:p>
        </w:tc>
        <w:tc>
          <w:tcPr>
            <w:tcW w:w="185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2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23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16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3"/>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505"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540" w:type="dxa"/>
            <w:vMerge w:val="continue"/>
            <w:vAlign w:val="center"/>
          </w:tcPr>
          <w:p>
            <w:pPr>
              <w:widowControl/>
              <w:jc w:val="left"/>
              <w:rPr>
                <w:rFonts w:hint="eastAsia" w:ascii="黑体" w:hAnsi="Times New Roman" w:eastAsia="黑体"/>
                <w:color w:val="auto"/>
                <w:kern w:val="0"/>
                <w:sz w:val="22"/>
                <w:highlight w:val="none"/>
              </w:rPr>
            </w:pPr>
          </w:p>
        </w:tc>
        <w:tc>
          <w:tcPr>
            <w:tcW w:w="725"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125"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220" w:type="dxa"/>
            <w:vMerge w:val="continue"/>
            <w:vAlign w:val="center"/>
          </w:tcPr>
          <w:p>
            <w:pPr>
              <w:widowControl/>
              <w:jc w:val="left"/>
              <w:rPr>
                <w:rFonts w:hint="eastAsia" w:ascii="黑体" w:hAnsi="宋体" w:eastAsia="黑体" w:cs="宋体"/>
                <w:color w:val="auto"/>
                <w:kern w:val="0"/>
                <w:sz w:val="22"/>
                <w:highlight w:val="none"/>
              </w:rPr>
            </w:pPr>
          </w:p>
        </w:tc>
        <w:tc>
          <w:tcPr>
            <w:tcW w:w="2230" w:type="dxa"/>
            <w:vMerge w:val="continue"/>
            <w:vAlign w:val="center"/>
          </w:tcPr>
          <w:p>
            <w:pPr>
              <w:widowControl/>
              <w:jc w:val="left"/>
              <w:rPr>
                <w:rFonts w:hint="eastAsia" w:ascii="黑体" w:hAnsi="宋体" w:eastAsia="黑体" w:cs="宋体"/>
                <w:color w:val="auto"/>
                <w:kern w:val="0"/>
                <w:sz w:val="22"/>
                <w:highlight w:val="none"/>
              </w:rPr>
            </w:pPr>
          </w:p>
        </w:tc>
        <w:tc>
          <w:tcPr>
            <w:tcW w:w="1620" w:type="dxa"/>
            <w:vMerge w:val="continue"/>
            <w:vAlign w:val="center"/>
          </w:tcPr>
          <w:p>
            <w:pPr>
              <w:widowControl/>
              <w:jc w:val="left"/>
              <w:rPr>
                <w:rFonts w:hint="eastAsia" w:ascii="黑体" w:hAnsi="宋体" w:eastAsia="黑体" w:cs="宋体"/>
                <w:color w:val="auto"/>
                <w:kern w:val="0"/>
                <w:sz w:val="22"/>
                <w:highlight w:val="none"/>
              </w:rPr>
            </w:pPr>
          </w:p>
        </w:tc>
        <w:tc>
          <w:tcPr>
            <w:tcW w:w="900" w:type="dxa"/>
            <w:vMerge w:val="continue"/>
            <w:vAlign w:val="center"/>
          </w:tcPr>
          <w:p>
            <w:pPr>
              <w:widowControl/>
              <w:jc w:val="left"/>
              <w:rPr>
                <w:rFonts w:hint="eastAsia" w:ascii="黑体" w:hAnsi="宋体" w:eastAsia="黑体" w:cs="宋体"/>
                <w:color w:val="auto"/>
                <w:kern w:val="0"/>
                <w:sz w:val="22"/>
                <w:highlight w:val="none"/>
              </w:rPr>
            </w:pPr>
          </w:p>
        </w:tc>
        <w:tc>
          <w:tcPr>
            <w:tcW w:w="2160" w:type="dxa"/>
            <w:vMerge w:val="continue"/>
            <w:vAlign w:val="center"/>
          </w:tcPr>
          <w:p>
            <w:pPr>
              <w:widowControl/>
              <w:jc w:val="left"/>
              <w:rPr>
                <w:rFonts w:hint="eastAsia" w:ascii="黑体" w:hAnsi="宋体" w:eastAsia="黑体" w:cs="宋体"/>
                <w:color w:val="auto"/>
                <w:kern w:val="0"/>
                <w:sz w:val="22"/>
                <w:highlight w:val="none"/>
              </w:rPr>
            </w:pP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镇（街）级</w:t>
            </w:r>
          </w:p>
        </w:tc>
        <w:tc>
          <w:tcPr>
            <w:tcW w:w="785"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村（社区）级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1</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政策</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文件</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教育法律</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《教育法》、《义务教育法》、《民办教育促进法》、《教师法》、《国家通用语言文字法》</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规范性文件</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val="en-US" w:eastAsia="zh-CN"/>
              </w:rPr>
              <w:t>市</w:t>
            </w:r>
            <w:r>
              <w:rPr>
                <w:rFonts w:hint="eastAsia" w:ascii="仿宋_GB2312" w:hAnsi="宋体" w:eastAsia="仿宋_GB2312"/>
                <w:color w:val="auto"/>
                <w:sz w:val="18"/>
                <w:szCs w:val="18"/>
                <w:highlight w:val="none"/>
              </w:rPr>
              <w:t>教育政策文件</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lang w:eastAsia="zh-CN"/>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2</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教育概况</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教育事业发展主要情况</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val="en-US" w:eastAsia="zh-CN"/>
              </w:rPr>
              <w:t>石岐区义务</w:t>
            </w:r>
            <w:r>
              <w:rPr>
                <w:rFonts w:hint="eastAsia" w:ascii="仿宋_GB2312" w:hAnsi="宋体" w:eastAsia="仿宋_GB2312"/>
                <w:color w:val="auto"/>
                <w:sz w:val="18"/>
                <w:szCs w:val="18"/>
                <w:highlight w:val="none"/>
              </w:rPr>
              <w:t>教育发展</w:t>
            </w:r>
            <w:r>
              <w:rPr>
                <w:rFonts w:hint="eastAsia" w:ascii="仿宋_GB2312" w:hAnsi="宋体" w:eastAsia="仿宋_GB2312"/>
                <w:color w:val="auto"/>
                <w:sz w:val="18"/>
                <w:szCs w:val="18"/>
                <w:highlight w:val="none"/>
                <w:lang w:eastAsia="zh-CN"/>
              </w:rPr>
              <w:t>概况</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《统计法》、《政府信息公开条例》、《教育统计管理规定》</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教育统计数据</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学校数据、在校生数据、教师数据</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义务教育学校名录</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学校名称、学校地址、办学层次、办学类型、办公电话</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3</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民办学校信息</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民办学校办学基本信息</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学校名称、办学许可证、办学规模、联系方式</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《民办教育促进法》、《政府信息公开条例》、《国务院关于鼓励社会力量兴办教育 促进民办教育健康发展的若干意见》</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jc w:val="left"/>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民办学校设立、变更、终止等事项行政审批、备案信息</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法律依据、办理流程、审批结果</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jc w:val="left"/>
              <w:rPr>
                <w:rFonts w:hint="eastAsia" w:ascii="仿宋_GB2312" w:hAnsi="仿宋" w:eastAsia="仿宋_GB2312"/>
                <w:color w:val="auto"/>
                <w:sz w:val="18"/>
                <w:szCs w:val="18"/>
                <w:highlight w:val="none"/>
                <w:lang w:eastAsia="zh-CN"/>
              </w:rPr>
            </w:pPr>
            <w:r>
              <w:rPr>
                <w:rFonts w:hint="eastAsia" w:ascii="仿宋_GB2312" w:hAnsi="仿宋" w:eastAsia="仿宋_GB2312"/>
                <w:color w:val="auto"/>
                <w:sz w:val="18"/>
                <w:szCs w:val="18"/>
                <w:highlight w:val="none"/>
              </w:rPr>
              <w:t>■政府网站</w:t>
            </w:r>
          </w:p>
          <w:p>
            <w:pPr>
              <w:jc w:val="left"/>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日常监管信息</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val="en-US" w:eastAsia="zh-CN"/>
              </w:rPr>
              <w:t>市</w:t>
            </w:r>
            <w:r>
              <w:rPr>
                <w:rFonts w:hint="eastAsia" w:ascii="仿宋_GB2312" w:hAnsi="宋体" w:eastAsia="仿宋_GB2312"/>
                <w:color w:val="auto"/>
                <w:sz w:val="18"/>
                <w:szCs w:val="18"/>
                <w:highlight w:val="none"/>
              </w:rPr>
              <w:t>年检指标、年检程序、年检结果、行政处罚信息</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strike/>
                <w:dstrike w:val="0"/>
                <w:color w:val="auto"/>
                <w:sz w:val="18"/>
                <w:szCs w:val="18"/>
                <w:highlight w:val="none"/>
                <w:lang w:eastAsia="zh-CN"/>
              </w:rPr>
            </w:pPr>
            <w:r>
              <w:rPr>
                <w:rFonts w:hint="eastAsia" w:ascii="仿宋_GB2312" w:hAnsi="仿宋" w:eastAsia="仿宋_GB2312"/>
                <w:color w:val="auto"/>
                <w:sz w:val="18"/>
                <w:szCs w:val="18"/>
                <w:highlight w:val="none"/>
              </w:rPr>
              <w:t>■政府网站</w:t>
            </w:r>
          </w:p>
        </w:tc>
        <w:tc>
          <w:tcPr>
            <w:tcW w:w="540" w:type="dxa"/>
            <w:vAlign w:val="center"/>
          </w:tcPr>
          <w:p>
            <w:pPr>
              <w:jc w:val="center"/>
              <w:rPr>
                <w:rFonts w:hint="eastAsia" w:ascii="仿宋_GB2312" w:hAnsi="仿宋" w:eastAsia="仿宋_GB2312" w:cs="宋体"/>
                <w:color w:val="auto"/>
                <w:sz w:val="18"/>
                <w:szCs w:val="18"/>
                <w:highlight w:val="none"/>
              </w:rPr>
            </w:pP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4</w:t>
            </w:r>
          </w:p>
        </w:tc>
        <w:tc>
          <w:tcPr>
            <w:tcW w:w="7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财务信息</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财务信息</w:t>
            </w:r>
          </w:p>
        </w:tc>
        <w:tc>
          <w:tcPr>
            <w:tcW w:w="2220" w:type="dxa"/>
            <w:vAlign w:val="center"/>
          </w:tcPr>
          <w:p>
            <w:pPr>
              <w:jc w:val="left"/>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义务教育民办学校收费文件</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县级、乡级教育部门</w:t>
            </w:r>
          </w:p>
        </w:tc>
        <w:tc>
          <w:tcPr>
            <w:tcW w:w="2160" w:type="dxa"/>
            <w:vAlign w:val="center"/>
          </w:tcPr>
          <w:p>
            <w:pPr>
              <w:jc w:val="left"/>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5</w:t>
            </w:r>
          </w:p>
        </w:tc>
        <w:tc>
          <w:tcPr>
            <w:tcW w:w="725"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招生管理</w:t>
            </w:r>
          </w:p>
          <w:p>
            <w:pPr>
              <w:jc w:val="both"/>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学校介绍</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办学性质、办学地点、联系方式等</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县级、乡级教育部门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 xml:space="preserve">■政府网站  </w:t>
            </w:r>
          </w:p>
          <w:p>
            <w:pPr>
              <w:jc w:val="left"/>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招生政策</w:t>
            </w:r>
          </w:p>
        </w:tc>
        <w:tc>
          <w:tcPr>
            <w:tcW w:w="2220" w:type="dxa"/>
            <w:vAlign w:val="center"/>
          </w:tcPr>
          <w:p>
            <w:pPr>
              <w:numPr>
                <w:ilvl w:val="0"/>
                <w:numId w:val="1"/>
              </w:num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val="en-US" w:eastAsia="zh-CN"/>
              </w:rPr>
              <w:t>石岐区义务教育招生工作实施方案</w:t>
            </w:r>
          </w:p>
          <w:p>
            <w:pPr>
              <w:numPr>
                <w:ilvl w:val="0"/>
                <w:numId w:val="1"/>
              </w:num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各民办学</w:t>
            </w:r>
            <w:r>
              <w:rPr>
                <w:rFonts w:hint="eastAsia" w:ascii="仿宋_GB2312" w:hAnsi="宋体" w:eastAsia="仿宋_GB2312"/>
                <w:color w:val="auto"/>
                <w:sz w:val="18"/>
                <w:szCs w:val="18"/>
                <w:highlight w:val="none"/>
              </w:rPr>
              <w:t>校招生工作实施方案</w:t>
            </w:r>
          </w:p>
          <w:p>
            <w:pPr>
              <w:numPr>
                <w:ilvl w:val="0"/>
                <w:numId w:val="1"/>
              </w:num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积分入学实施细则</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auto"/>
                <w:sz w:val="18"/>
                <w:szCs w:val="18"/>
                <w:highlight w:val="none"/>
              </w:rPr>
            </w:pPr>
          </w:p>
        </w:tc>
        <w:tc>
          <w:tcPr>
            <w:tcW w:w="725" w:type="dxa"/>
            <w:vMerge w:val="continue"/>
            <w:vAlign w:val="center"/>
          </w:tcPr>
          <w:p>
            <w:pPr>
              <w:jc w:val="cente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招生计划</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各校本年度招生计划</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招生范围</w:t>
            </w:r>
          </w:p>
        </w:tc>
        <w:tc>
          <w:tcPr>
            <w:tcW w:w="2220" w:type="dxa"/>
            <w:vAlign w:val="center"/>
          </w:tcPr>
          <w:p>
            <w:pPr>
              <w:rPr>
                <w:rFonts w:hint="eastAsia" w:ascii="仿宋_GB2312" w:hAnsi="宋体" w:eastAsia="仿宋_GB2312" w:cs="宋体"/>
                <w:color w:val="auto"/>
                <w:sz w:val="18"/>
                <w:szCs w:val="18"/>
                <w:highlight w:val="none"/>
                <w:lang w:eastAsia="zh-CN"/>
              </w:rPr>
            </w:pPr>
            <w:r>
              <w:rPr>
                <w:rFonts w:hint="eastAsia" w:ascii="仿宋_GB2312" w:hAnsi="宋体" w:eastAsia="仿宋_GB2312"/>
                <w:color w:val="auto"/>
                <w:sz w:val="18"/>
                <w:szCs w:val="18"/>
                <w:highlight w:val="none"/>
              </w:rPr>
              <w:t>招生范围</w:t>
            </w:r>
            <w:r>
              <w:rPr>
                <w:rFonts w:hint="eastAsia" w:ascii="仿宋_GB2312" w:hAnsi="宋体" w:eastAsia="仿宋_GB2312"/>
                <w:color w:val="auto"/>
                <w:sz w:val="18"/>
                <w:szCs w:val="18"/>
                <w:highlight w:val="none"/>
                <w:lang w:eastAsia="zh-CN"/>
              </w:rPr>
              <w:t>通告</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jc w:val="left"/>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jc w:val="left"/>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6</w:t>
            </w:r>
          </w:p>
          <w:p>
            <w:pPr>
              <w:jc w:val="center"/>
              <w:rPr>
                <w:rFonts w:hint="eastAsia" w:ascii="仿宋_GB2312" w:hAnsi="宋体" w:eastAsia="仿宋_GB2312" w:cs="宋体"/>
                <w:color w:val="auto"/>
                <w:sz w:val="18"/>
                <w:szCs w:val="18"/>
                <w:highlight w:val="none"/>
              </w:rPr>
            </w:pP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学生管理</w:t>
            </w: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学籍管理</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义务教育阶段学生休学、复学、转学相关政策及所需材料和办理流程；适龄儿童延缓入学所需材料及办理流程；学籍证明、毕（结）业证书遗失办理学历证明确认</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《义务教育法》、《政府信息公开条例》、《中小学生学籍管理办法》</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 xml:space="preserve">■政府网站  </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学生评优奖励</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省市“三好学生”“优秀学生干部”评选标准；评比方法；表彰名单等</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《政府信息公开条例》，当地省市县表彰文件</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auto"/>
                <w:sz w:val="18"/>
                <w:szCs w:val="18"/>
                <w:highlight w:val="none"/>
              </w:rPr>
            </w:pPr>
          </w:p>
        </w:tc>
        <w:tc>
          <w:tcPr>
            <w:tcW w:w="725" w:type="dxa"/>
            <w:vMerge w:val="continue"/>
            <w:vAlign w:val="center"/>
          </w:tcPr>
          <w:p>
            <w:pPr>
              <w:jc w:val="center"/>
              <w:rPr>
                <w:rFonts w:hint="eastAsia" w:ascii="仿宋_GB2312" w:hAnsi="宋体" w:eastAsia="仿宋_GB2312"/>
                <w:color w:val="auto"/>
                <w:sz w:val="18"/>
                <w:szCs w:val="18"/>
                <w:highlight w:val="none"/>
              </w:rPr>
            </w:pPr>
          </w:p>
        </w:tc>
        <w:tc>
          <w:tcPr>
            <w:tcW w:w="1125"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优待政策</w:t>
            </w:r>
          </w:p>
        </w:tc>
        <w:tc>
          <w:tcPr>
            <w:tcW w:w="2220" w:type="dxa"/>
            <w:vAlign w:val="center"/>
          </w:tcPr>
          <w:p>
            <w:pPr>
              <w:rPr>
                <w:rFonts w:hint="default" w:ascii="仿宋_GB2312" w:hAnsi="宋体" w:eastAsia="仿宋_GB2312" w:cs="宋体"/>
                <w:color w:val="auto"/>
                <w:sz w:val="18"/>
                <w:szCs w:val="18"/>
                <w:highlight w:val="none"/>
                <w:lang w:val="en-US"/>
              </w:rPr>
            </w:pPr>
            <w:r>
              <w:rPr>
                <w:rFonts w:hint="eastAsia" w:ascii="仿宋_GB2312" w:hAnsi="宋体" w:eastAsia="仿宋_GB2312"/>
                <w:color w:val="auto"/>
                <w:sz w:val="18"/>
                <w:szCs w:val="18"/>
                <w:highlight w:val="none"/>
                <w:lang w:val="en-US" w:eastAsia="zh-CN"/>
              </w:rPr>
              <w:t>市中考优待政策文件</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olor w:val="auto"/>
                <w:sz w:val="18"/>
                <w:szCs w:val="18"/>
                <w:highlight w:val="none"/>
              </w:rPr>
            </w:pPr>
          </w:p>
          <w:p>
            <w:pPr>
              <w:jc w:val="left"/>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7</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教师管理</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教师培训</w:t>
            </w:r>
          </w:p>
        </w:tc>
        <w:tc>
          <w:tcPr>
            <w:tcW w:w="2220" w:type="dxa"/>
            <w:vAlign w:val="center"/>
          </w:tcPr>
          <w:p>
            <w:pPr>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市教师培训通知文件</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《教育法》、《教师法》、《中小学教师继续教育规定》</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lang w:eastAsia="zh-CN"/>
              </w:rPr>
              <w:t>教师</w:t>
            </w: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教师资格认定</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教师资格认定申请材料；参加体检时间、医疗机构名单、体检合格标准；认定结果；咨询方式、监督举报方式、常见问题等</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《教师法》、《政府信息公开条例》、《教师资格条例》及实施办法、《教育部关于印发〈教师资格证书管理规定〉的通知》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Merge w:val="continue"/>
            <w:vAlign w:val="center"/>
          </w:tcPr>
          <w:p>
            <w:pPr>
              <w:rPr>
                <w:rFonts w:hint="eastAsia" w:ascii="仿宋_GB2312" w:hAnsi="宋体" w:eastAsia="仿宋_GB2312" w:cs="宋体"/>
                <w:color w:val="auto"/>
                <w:sz w:val="18"/>
                <w:szCs w:val="18"/>
                <w:highlight w:val="none"/>
              </w:rPr>
            </w:pP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中小学、幼儿园教师资格证书补发、换发政策及流程</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7</w:t>
            </w:r>
          </w:p>
        </w:tc>
        <w:tc>
          <w:tcPr>
            <w:tcW w:w="7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教师管理</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教师公开招聘</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教师招聘计划和公告、拟聘用人员名单公示</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 xml:space="preserve">■政府网站  </w:t>
            </w:r>
          </w:p>
          <w:p>
            <w:pPr>
              <w:jc w:val="left"/>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7</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教师管理</w:t>
            </w:r>
          </w:p>
        </w:tc>
        <w:tc>
          <w:tcPr>
            <w:tcW w:w="11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教师</w:t>
            </w:r>
            <w:r>
              <w:rPr>
                <w:rFonts w:hint="eastAsia" w:ascii="仿宋_GB2312" w:hAnsi="宋体" w:eastAsia="仿宋_GB2312" w:cs="宋体"/>
                <w:color w:val="auto"/>
                <w:sz w:val="18"/>
                <w:szCs w:val="18"/>
                <w:highlight w:val="none"/>
              </w:rPr>
              <w:br w:type="textWrapping"/>
            </w:r>
            <w:r>
              <w:rPr>
                <w:rFonts w:hint="eastAsia" w:ascii="仿宋_GB2312" w:hAnsi="宋体" w:eastAsia="仿宋_GB2312" w:cs="宋体"/>
                <w:color w:val="auto"/>
                <w:sz w:val="18"/>
                <w:szCs w:val="18"/>
                <w:highlight w:val="none"/>
              </w:rPr>
              <w:t>行为</w:t>
            </w:r>
            <w:r>
              <w:rPr>
                <w:rFonts w:hint="eastAsia" w:ascii="仿宋_GB2312" w:hAnsi="宋体" w:eastAsia="仿宋_GB2312" w:cs="宋体"/>
                <w:color w:val="auto"/>
                <w:sz w:val="18"/>
                <w:szCs w:val="18"/>
                <w:highlight w:val="none"/>
              </w:rPr>
              <w:br w:type="textWrapping"/>
            </w:r>
            <w:r>
              <w:rPr>
                <w:rFonts w:hint="eastAsia" w:ascii="仿宋_GB2312" w:hAnsi="宋体" w:eastAsia="仿宋_GB2312" w:cs="宋体"/>
                <w:color w:val="auto"/>
                <w:sz w:val="18"/>
                <w:szCs w:val="18"/>
                <w:highlight w:val="none"/>
              </w:rPr>
              <w:t>规范</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教师职业行为准则及违规处理办法</w:t>
            </w:r>
            <w:r>
              <w:rPr>
                <w:rFonts w:hint="eastAsia" w:ascii="仿宋_GB2312" w:hAnsi="宋体" w:eastAsia="仿宋_GB2312"/>
                <w:color w:val="auto"/>
                <w:sz w:val="18"/>
                <w:szCs w:val="18"/>
                <w:highlight w:val="none"/>
                <w:lang w:val="en-US" w:eastAsia="zh-CN"/>
              </w:rPr>
              <w:t>的市级文件</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Merge w:val="continue"/>
            <w:vAlign w:val="center"/>
          </w:tcPr>
          <w:p>
            <w:pPr>
              <w:rPr>
                <w:rFonts w:hint="eastAsia" w:ascii="仿宋_GB2312" w:hAnsi="宋体" w:eastAsia="仿宋_GB2312" w:cs="宋体"/>
                <w:color w:val="auto"/>
                <w:sz w:val="18"/>
                <w:szCs w:val="18"/>
                <w:highlight w:val="none"/>
              </w:rPr>
            </w:pP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对教师有严重违反教师职业行为准则的行政处罚信息</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7</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教师管理</w:t>
            </w: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教师评优评先</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优秀教师的表彰、奖励等行政奖励信息公示</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《教师法》、《中共中央 国务院关于全面深化新时代教师队伍建设改革的意见》</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教师职称评审</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评审政策、评审通知、评审结果、最终结果</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《政府信息公开条例》、《人力资源社会保障部教育部关于印发深化中小学教师职称制度改革的指导意见的通知》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信息形成（变更）3个工作日内，公示时间不少于7个工作日</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县级、乡级教育部门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教师</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7</w:t>
            </w:r>
          </w:p>
        </w:tc>
        <w:tc>
          <w:tcPr>
            <w:tcW w:w="7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教师管理</w:t>
            </w:r>
          </w:p>
        </w:tc>
        <w:tc>
          <w:tcPr>
            <w:tcW w:w="1125" w:type="dxa"/>
            <w:vAlign w:val="center"/>
          </w:tcPr>
          <w:p>
            <w:pPr>
              <w:rPr>
                <w:rFonts w:hint="eastAsia" w:ascii="仿宋_GB2312" w:hAnsi="宋体" w:eastAsia="仿宋_GB2312" w:cs="宋体"/>
                <w:color w:val="auto"/>
                <w:kern w:val="2"/>
                <w:sz w:val="18"/>
                <w:szCs w:val="18"/>
                <w:highlight w:val="none"/>
                <w:lang w:val="en-US" w:eastAsia="zh-CN" w:bidi="ar-SA"/>
              </w:rPr>
            </w:pPr>
            <w:r>
              <w:rPr>
                <w:rFonts w:hint="eastAsia" w:ascii="仿宋_GB2312" w:hAnsi="宋体" w:eastAsia="仿宋_GB2312"/>
                <w:color w:val="auto"/>
                <w:sz w:val="18"/>
                <w:szCs w:val="18"/>
                <w:highlight w:val="none"/>
              </w:rPr>
              <w:t>普通话培训及测试</w:t>
            </w:r>
          </w:p>
        </w:tc>
        <w:tc>
          <w:tcPr>
            <w:tcW w:w="2220" w:type="dxa"/>
            <w:vAlign w:val="center"/>
          </w:tcPr>
          <w:p>
            <w:pPr>
              <w:rPr>
                <w:rFonts w:hint="eastAsia" w:ascii="仿宋_GB2312" w:hAnsi="宋体" w:eastAsia="仿宋_GB2312" w:cs="宋体"/>
                <w:color w:val="auto"/>
                <w:kern w:val="2"/>
                <w:sz w:val="18"/>
                <w:szCs w:val="18"/>
                <w:highlight w:val="none"/>
                <w:lang w:val="en-US" w:eastAsia="zh-CN" w:bidi="ar-SA"/>
              </w:rPr>
            </w:pPr>
            <w:r>
              <w:rPr>
                <w:rFonts w:hint="eastAsia" w:ascii="仿宋_GB2312" w:hAnsi="宋体" w:eastAsia="仿宋_GB2312"/>
                <w:color w:val="auto"/>
                <w:sz w:val="18"/>
                <w:szCs w:val="18"/>
                <w:highlight w:val="none"/>
                <w:lang w:val="en-US" w:eastAsia="zh-CN"/>
              </w:rPr>
              <w:t>市</w:t>
            </w:r>
            <w:r>
              <w:rPr>
                <w:rFonts w:hint="eastAsia" w:ascii="仿宋_GB2312" w:hAnsi="宋体" w:eastAsia="仿宋_GB2312"/>
                <w:color w:val="auto"/>
                <w:sz w:val="18"/>
                <w:szCs w:val="18"/>
                <w:highlight w:val="none"/>
              </w:rPr>
              <w:t>开展普通话培训的通知</w:t>
            </w:r>
          </w:p>
        </w:tc>
        <w:tc>
          <w:tcPr>
            <w:tcW w:w="2230" w:type="dxa"/>
            <w:vAlign w:val="center"/>
          </w:tcPr>
          <w:p>
            <w:pPr>
              <w:rPr>
                <w:rFonts w:hint="eastAsia" w:ascii="仿宋_GB2312" w:hAnsi="宋体" w:eastAsia="仿宋_GB2312" w:cs="宋体"/>
                <w:color w:val="auto"/>
                <w:kern w:val="2"/>
                <w:sz w:val="18"/>
                <w:szCs w:val="18"/>
                <w:highlight w:val="none"/>
                <w:lang w:val="en-US" w:eastAsia="zh-CN" w:bidi="ar-SA"/>
              </w:rPr>
            </w:pPr>
            <w:r>
              <w:rPr>
                <w:rFonts w:hint="eastAsia" w:ascii="仿宋_GB2312" w:hAnsi="宋体" w:eastAsia="仿宋_GB2312"/>
                <w:color w:val="auto"/>
                <w:sz w:val="18"/>
                <w:szCs w:val="18"/>
                <w:highlight w:val="none"/>
              </w:rPr>
              <w:t>《政府信息公开条例》、《普通话水平测试管理规定》</w:t>
            </w:r>
          </w:p>
        </w:tc>
        <w:tc>
          <w:tcPr>
            <w:tcW w:w="1620" w:type="dxa"/>
            <w:vAlign w:val="center"/>
          </w:tcPr>
          <w:p>
            <w:pP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p>
        </w:tc>
        <w:tc>
          <w:tcPr>
            <w:tcW w:w="540" w:type="dxa"/>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kern w:val="2"/>
                <w:sz w:val="18"/>
                <w:szCs w:val="18"/>
                <w:highlight w:val="none"/>
                <w:lang w:val="en-US" w:eastAsia="zh-CN" w:bidi="ar-SA"/>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8</w:t>
            </w:r>
          </w:p>
        </w:tc>
        <w:tc>
          <w:tcPr>
            <w:tcW w:w="7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重要政策执行情况</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控辍保学</w:t>
            </w:r>
          </w:p>
        </w:tc>
        <w:tc>
          <w:tcPr>
            <w:tcW w:w="2220" w:type="dxa"/>
            <w:vAlign w:val="center"/>
          </w:tcPr>
          <w:p>
            <w:pPr>
              <w:rPr>
                <w:rFonts w:hint="eastAsia" w:ascii="仿宋_GB2312" w:hAnsi="宋体" w:eastAsia="仿宋_GB2312" w:cs="宋体"/>
                <w:color w:val="auto"/>
                <w:sz w:val="18"/>
                <w:szCs w:val="18"/>
                <w:highlight w:val="none"/>
                <w:lang w:eastAsia="zh-CN"/>
              </w:rPr>
            </w:pPr>
            <w:r>
              <w:rPr>
                <w:rFonts w:hint="eastAsia" w:ascii="仿宋_GB2312" w:hAnsi="宋体" w:eastAsia="仿宋_GB2312"/>
                <w:color w:val="auto"/>
                <w:sz w:val="18"/>
                <w:szCs w:val="18"/>
                <w:highlight w:val="none"/>
              </w:rPr>
              <w:t>控辍保学工作</w:t>
            </w:r>
            <w:r>
              <w:rPr>
                <w:rFonts w:hint="eastAsia" w:ascii="仿宋_GB2312" w:hAnsi="宋体" w:eastAsia="仿宋_GB2312"/>
                <w:color w:val="auto"/>
                <w:sz w:val="18"/>
                <w:szCs w:val="18"/>
                <w:highlight w:val="none"/>
                <w:lang w:eastAsia="zh-CN"/>
              </w:rPr>
              <w:t>措施</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《政府信息公开条例》、《国务院办公厅关于进一步加强控辍保学提高义务教育巩固水平的通知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spacing w:line="240" w:lineRule="exact"/>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p>
          <w:p>
            <w:pPr>
              <w:spacing w:line="240" w:lineRule="exact"/>
              <w:jc w:val="left"/>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8</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重要政策执行情况</w:t>
            </w: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学校体育评价</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学校体育工作自评报告</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《政府信息公开条例》、教育部关于印发《学生体质健康监测评价办法》等三个文件的通知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学校美育评价</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学校艺术教育工作自评</w:t>
            </w:r>
            <w:r>
              <w:rPr>
                <w:rFonts w:hint="eastAsia" w:ascii="仿宋_GB2312" w:hAnsi="宋体" w:eastAsia="仿宋_GB2312"/>
                <w:color w:val="auto"/>
                <w:sz w:val="18"/>
                <w:szCs w:val="18"/>
                <w:highlight w:val="none"/>
                <w:lang w:eastAsia="zh-CN"/>
              </w:rPr>
              <w:t>报告</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《政府信息公开条例》、教育部关于印发《中小学生艺术素质测评办法》等三个文件的通知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9</w:t>
            </w:r>
          </w:p>
        </w:tc>
        <w:tc>
          <w:tcPr>
            <w:tcW w:w="725"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教育督导</w:t>
            </w:r>
          </w:p>
        </w:tc>
        <w:tc>
          <w:tcPr>
            <w:tcW w:w="1125"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机构队伍</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督学名单</w:t>
            </w:r>
          </w:p>
        </w:tc>
        <w:tc>
          <w:tcPr>
            <w:tcW w:w="223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《教育督导条例》、《县域义务教育均衡发展督导评估暂行办法》、《县域义务教育优质均衡发展督导评估办法》</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r>
              <w:rPr>
                <w:rFonts w:hint="eastAsia" w:ascii="仿宋_GB2312" w:hAnsi="仿宋" w:eastAsia="仿宋_GB2312"/>
                <w:color w:val="auto"/>
                <w:sz w:val="18"/>
                <w:szCs w:val="18"/>
                <w:highlight w:val="none"/>
              </w:rPr>
              <w:br w:type="textWrapping"/>
            </w:r>
            <w:r>
              <w:rPr>
                <w:rFonts w:hint="eastAsia" w:ascii="仿宋_GB2312" w:hAnsi="仿宋" w:eastAsia="仿宋_GB2312"/>
                <w:color w:val="auto"/>
                <w:sz w:val="18"/>
                <w:szCs w:val="18"/>
                <w:highlight w:val="none"/>
              </w:rPr>
              <w:t xml:space="preserve">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auto"/>
                <w:sz w:val="18"/>
                <w:szCs w:val="18"/>
                <w:highlight w:val="none"/>
              </w:rPr>
            </w:pP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学校督导评估</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责任督学名单、责任督学日常督导事项</w:t>
            </w:r>
          </w:p>
        </w:tc>
        <w:tc>
          <w:tcPr>
            <w:tcW w:w="2230" w:type="dxa"/>
            <w:vMerge w:val="continue"/>
            <w:vAlign w:val="center"/>
          </w:tcPr>
          <w:p>
            <w:pPr>
              <w:rPr>
                <w:rFonts w:hint="eastAsia" w:ascii="仿宋_GB2312" w:hAnsi="宋体" w:eastAsia="仿宋_GB2312" w:cs="宋体"/>
                <w:color w:val="auto"/>
                <w:sz w:val="18"/>
                <w:szCs w:val="18"/>
                <w:highlight w:val="none"/>
              </w:rPr>
            </w:pP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10</w:t>
            </w:r>
          </w:p>
        </w:tc>
        <w:tc>
          <w:tcPr>
            <w:tcW w:w="725"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校园安全</w:t>
            </w:r>
          </w:p>
        </w:tc>
        <w:tc>
          <w:tcPr>
            <w:tcW w:w="1125"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校园安全管理</w:t>
            </w:r>
          </w:p>
        </w:tc>
        <w:tc>
          <w:tcPr>
            <w:tcW w:w="22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校园安全管理法律法规、校车使用许可申请政策规定及申请流程</w:t>
            </w:r>
          </w:p>
        </w:tc>
        <w:tc>
          <w:tcPr>
            <w:tcW w:w="223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县（市、区）教育部门</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■政府网站</w:t>
            </w:r>
            <w:r>
              <w:rPr>
                <w:rFonts w:hint="eastAsia" w:ascii="仿宋_GB2312" w:hAnsi="仿宋" w:eastAsia="仿宋_GB2312"/>
                <w:color w:val="auto"/>
                <w:sz w:val="18"/>
                <w:szCs w:val="18"/>
                <w:highlight w:val="none"/>
                <w:lang w:eastAsia="zh-CN"/>
              </w:rPr>
              <w:t>（中山教育信息港）</w:t>
            </w:r>
            <w:r>
              <w:rPr>
                <w:rFonts w:hint="eastAsia" w:ascii="仿宋_GB2312" w:hAnsi="仿宋" w:eastAsia="仿宋_GB2312"/>
                <w:color w:val="auto"/>
                <w:sz w:val="18"/>
                <w:szCs w:val="18"/>
                <w:highlight w:val="none"/>
              </w:rPr>
              <w:t xml:space="preserve">  </w:t>
            </w:r>
          </w:p>
          <w:p>
            <w:pPr>
              <w:jc w:val="left"/>
              <w:rPr>
                <w:rFonts w:hint="eastAsia" w:ascii="仿宋_GB2312" w:hAnsi="仿宋" w:eastAsia="仿宋_GB2312" w:cs="宋体"/>
                <w:color w:val="auto"/>
                <w:sz w:val="18"/>
                <w:szCs w:val="18"/>
                <w:highlight w:val="none"/>
              </w:rPr>
            </w:pP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B58E6"/>
    <w:multiLevelType w:val="singleLevel"/>
    <w:tmpl w:val="5F3B58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53F16"/>
    <w:rsid w:val="4A453F16"/>
    <w:rsid w:val="72C2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2020-10-29T00:46:00Z</dcterms:created>
  <dc:creator>NTKO</dc:creator>
  <cp:lastModifiedBy>石岐总值班室（23328546）</cp:lastModifiedBy>
  <dcterms:modified xsi:type="dcterms:W3CDTF">2022-11-30T03:16:53Z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B40205D50B7E4B1E95D9A83E3567E6F7</vt:lpwstr>
  </property>
</Properties>
</file>