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）生态环境领域基层政务公开标准目录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2022年度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）</w:t>
      </w:r>
    </w:p>
    <w:tbl>
      <w:tblPr>
        <w:tblStyle w:val="3"/>
        <w:tblW w:w="153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625"/>
        <w:gridCol w:w="828"/>
        <w:gridCol w:w="2700"/>
        <w:gridCol w:w="2123"/>
        <w:gridCol w:w="1724"/>
        <w:gridCol w:w="1201"/>
        <w:gridCol w:w="1800"/>
        <w:gridCol w:w="570"/>
        <w:gridCol w:w="637"/>
        <w:gridCol w:w="555"/>
        <w:gridCol w:w="720"/>
        <w:gridCol w:w="720"/>
        <w:gridCol w:w="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bookmarkStart w:id="1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公开内容（要素）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公开依据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公开时限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公开方式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一级事项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全社会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特定群众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依申请公开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  <w:t>市级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  <w:t>镇（街）级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建设项目环境影响评价文件审批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《中华人民共和国行政许可法》、《环境影响评价法》、《海洋环境保护法》、《放射性污染防治法》、《政府信息公开条例》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■政府网站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■两微一端</w:t>
            </w:r>
          </w:p>
          <w:p>
            <w:pPr>
              <w:widowControl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防治污染设施拆除或闲置审批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城市噪声敏感建筑集中区域内夜间连续施工作业审批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施工公告情况；特殊时段建筑施工作业审批结果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《中华人民共和国行政许可法》、《中华人民共和国环境噪声污染防治法》、《广东省实施﹙中华人民共和国环境噪声污染防治法〉办法》、《政府信息公开条例》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在城市市区建筑施工使用蒸汽桩机、锤击桩机审批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施工公告情况；建筑施工使用蒸汽桩机、锤击桩机审批结果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《中华人民共和国行政许可法》、《中华人民共和国环境噪声污染防治法》、《广东省实施﹙中华人民共和国环境噪声污染防治法〉办法》、《政府信息公开条例》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排污许可证核发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准予许可决定的：排污许可证正本以及副本中基本信息、许可事项及承诺书；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不予许可决定的：不予许可决定书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《中华人民共和国行政许可法》、《排污许可管理办法（试行）》、《政府信息公开条例》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全国排污许可证管理信息平台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入河排污口设置审核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入河排污口设置审核:决定环节：入河排污口设置审核信息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《中华人民共和国行政许可法》、《入河排污口监督管理办法》、《政府信息公开条例》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行政处罚流程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自收到申请之日起20个工作日内自该信息形成或者变更之日起20个工作日内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■精准推送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行政处罚决定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行政处罚决定书（全文公开）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行政强制流程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查封、扣押清单；查封（扣押）延期通知书；解除查封（扣押）决定书</w:t>
            </w: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自收到申请之日起20个工作日内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■精准推送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行政强制决定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查封、扣押决定书（全文公开）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行政命令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责令改正违法行为决定书（全文公开）</w:t>
            </w: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运行环节：制定方案、实施检查、事后监管；责任事项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《政府信息公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开条</w:t>
            </w:r>
            <w:r>
              <w:rPr>
                <w:rStyle w:val="6"/>
                <w:rFonts w:hint="default" w:hAnsi="仿宋_GB2312"/>
                <w:lang w:bidi="ar"/>
              </w:rPr>
              <w:t>例》、《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关</w:t>
            </w:r>
            <w:r>
              <w:rPr>
                <w:rStyle w:val="6"/>
                <w:rFonts w:hint="default" w:hAnsi="仿宋_GB2312"/>
                <w:lang w:bidi="ar"/>
              </w:rPr>
              <w:t>于全面推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进</w:t>
            </w:r>
            <w:r>
              <w:rPr>
                <w:rStyle w:val="6"/>
                <w:rFonts w:hint="default" w:hAnsi="仿宋_GB2312"/>
                <w:lang w:bidi="ar"/>
              </w:rPr>
              <w:t>政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务</w:t>
            </w:r>
            <w:r>
              <w:rPr>
                <w:rStyle w:val="6"/>
                <w:rFonts w:hint="default" w:hAnsi="仿宋_GB2312"/>
                <w:lang w:bidi="ar"/>
              </w:rPr>
              <w:t>公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开</w:t>
            </w:r>
            <w:r>
              <w:rPr>
                <w:rStyle w:val="6"/>
                <w:rFonts w:hint="default" w:hAnsi="仿宋_GB2312"/>
                <w:lang w:bidi="ar"/>
              </w:rPr>
              <w:t>工作的意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见</w:t>
            </w:r>
            <w:r>
              <w:rPr>
                <w:rStyle w:val="6"/>
                <w:rFonts w:hint="default" w:hAnsi="仿宋_GB2312"/>
                <w:lang w:bidi="ar"/>
              </w:rPr>
              <w:t>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其他行政职责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企业事业单位突发环境事件应急预案备案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企业事业单位突发环境事件应急预案备案情况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市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级、镇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eastAsia="zh-CN" w:bidi="ar"/>
              </w:rPr>
              <w:t>街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bookmarkEnd w:id="1"/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076C"/>
    <w:rsid w:val="1C53153F"/>
    <w:rsid w:val="23DF69CE"/>
    <w:rsid w:val="24DD31DF"/>
    <w:rsid w:val="2D4D0195"/>
    <w:rsid w:val="36CB076C"/>
    <w:rsid w:val="53C74501"/>
    <w:rsid w:val="61192AFE"/>
    <w:rsid w:val="6E1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2020-10-29T00:55:00Z</dcterms:created>
  <dc:creator>NTKO</dc:creator>
  <cp:lastModifiedBy>石岐总值班室（23328546）</cp:lastModifiedBy>
  <dcterms:modified xsi:type="dcterms:W3CDTF">2022-11-30T02:39:54Z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CF3F05786C0C48FEB437FBA2783FDF19</vt:lpwstr>
  </property>
</Properties>
</file>