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五</w:t>
      </w:r>
      <w:r>
        <w:rPr>
          <w:rFonts w:hint="eastAsia" w:ascii="方正小标宋_GBK" w:hAnsi="方正小标宋_GBK" w:eastAsia="方正小标宋_GBK"/>
          <w:b w:val="0"/>
          <w:bCs w:val="0"/>
          <w:sz w:val="30"/>
        </w:rPr>
        <w:t>）农村危房改造领域基层政务公开标准目录（2022年度）</w:t>
      </w:r>
      <w:bookmarkStart w:id="0" w:name="_GoBack"/>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lang w:val="en-US" w:eastAsia="zh-CN"/>
              </w:rPr>
              <w:t>镇(街)</w:t>
            </w:r>
            <w:r>
              <w:rPr>
                <w:rFonts w:hint="eastAsia" w:ascii="黑体" w:hAnsi="宋体" w:eastAsia="黑体" w:cs="宋体"/>
                <w:color w:val="000000"/>
                <w:kern w:val="0"/>
                <w:sz w:val="22"/>
                <w:highlight w:val="none"/>
                <w:lang w:eastAsia="zh-CN"/>
              </w:rPr>
              <w:t>级</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lang w:eastAsia="zh-CN"/>
              </w:rPr>
              <w:t>社区</w:t>
            </w:r>
            <w:r>
              <w:rPr>
                <w:rFonts w:hint="eastAsia" w:ascii="黑体" w:hAnsi="宋体" w:eastAsia="黑体" w:cs="宋体"/>
                <w:color w:val="000000"/>
                <w:kern w:val="0"/>
                <w:sz w:val="22"/>
                <w:highlight w:val="none"/>
                <w:lang w:val="en-US" w:eastAsia="zh-CN"/>
              </w:rPr>
              <w:t>(</w:t>
            </w:r>
            <w:r>
              <w:rPr>
                <w:rFonts w:hint="eastAsia" w:ascii="黑体" w:hAnsi="宋体" w:eastAsia="黑体" w:cs="宋体"/>
                <w:color w:val="000000"/>
                <w:kern w:val="0"/>
                <w:sz w:val="22"/>
                <w:highlight w:val="none"/>
                <w:lang w:eastAsia="zh-CN"/>
              </w:rPr>
              <w:t>村</w:t>
            </w:r>
            <w:r>
              <w:rPr>
                <w:rFonts w:hint="eastAsia" w:ascii="黑体" w:hAnsi="宋体" w:eastAsia="黑体" w:cs="宋体"/>
                <w:color w:val="000000"/>
                <w:kern w:val="0"/>
                <w:sz w:val="22"/>
                <w:highlight w:val="none"/>
                <w:lang w:val="en-US" w:eastAsia="zh-CN"/>
              </w:rPr>
              <w:t>)</w:t>
            </w:r>
            <w:r>
              <w:rPr>
                <w:rFonts w:hint="eastAsia" w:ascii="黑体" w:hAnsi="宋体" w:eastAsia="黑体" w:cs="宋体"/>
                <w:color w:val="000000"/>
                <w:kern w:val="0"/>
                <w:sz w:val="22"/>
                <w:highlight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1</w:t>
            </w:r>
          </w:p>
        </w:tc>
        <w:tc>
          <w:tcPr>
            <w:tcW w:w="9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部门文件</w:t>
            </w:r>
          </w:p>
        </w:tc>
        <w:tc>
          <w:tcPr>
            <w:tcW w:w="126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农村危房改造相关文件</w:t>
            </w:r>
          </w:p>
        </w:tc>
        <w:tc>
          <w:tcPr>
            <w:tcW w:w="1980" w:type="dxa"/>
            <w:vAlign w:val="center"/>
          </w:tcPr>
          <w:p>
            <w:pPr>
              <w:widowControl/>
              <w:rPr>
                <w:rFonts w:ascii="黑体" w:hAnsi="宋体" w:eastAsia="黑体" w:cs="宋体"/>
                <w:color w:val="000000"/>
                <w:kern w:val="0"/>
                <w:sz w:val="22"/>
                <w:highlight w:val="none"/>
              </w:rPr>
            </w:pPr>
            <w:r>
              <w:rPr>
                <w:rFonts w:hint="eastAsia" w:ascii="仿宋_GB2312" w:hAnsi="宋体" w:eastAsia="仿宋_GB2312"/>
                <w:color w:val="000000"/>
                <w:sz w:val="18"/>
                <w:szCs w:val="18"/>
                <w:highlight w:val="none"/>
              </w:rPr>
              <w:t>文件分类、生成日期、标题、文号、有效性、关键词和具体内容等</w:t>
            </w:r>
          </w:p>
        </w:tc>
        <w:tc>
          <w:tcPr>
            <w:tcW w:w="1800" w:type="dxa"/>
            <w:vAlign w:val="center"/>
          </w:tcPr>
          <w:p>
            <w:pPr>
              <w:widowControl/>
              <w:rPr>
                <w:rFonts w:ascii="黑体" w:hAnsi="宋体" w:eastAsia="黑体" w:cs="宋体"/>
                <w:color w:val="000000"/>
                <w:kern w:val="0"/>
                <w:sz w:val="22"/>
                <w:highlight w:val="none"/>
              </w:rPr>
            </w:pPr>
            <w:r>
              <w:rPr>
                <w:rFonts w:hint="eastAsia" w:ascii="仿宋_GB2312" w:hAnsi="宋体" w:eastAsia="仿宋_GB2312"/>
                <w:color w:val="000000"/>
                <w:sz w:val="18"/>
                <w:szCs w:val="18"/>
                <w:highlight w:val="none"/>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widowControl/>
              <w:rPr>
                <w:rFonts w:ascii="黑体" w:hAnsi="宋体" w:eastAsia="黑体" w:cs="宋体"/>
                <w:color w:val="000000"/>
                <w:kern w:val="0"/>
                <w:sz w:val="22"/>
                <w:highlight w:val="none"/>
              </w:rPr>
            </w:pPr>
            <w:r>
              <w:rPr>
                <w:rFonts w:hint="eastAsia" w:ascii="仿宋_GB2312" w:hAnsi="宋体" w:eastAsia="仿宋_GB2312"/>
                <w:color w:val="000000"/>
                <w:sz w:val="18"/>
                <w:szCs w:val="18"/>
                <w:highlight w:val="none"/>
              </w:rPr>
              <w:t>住房和城乡建设等相关职能部门</w:t>
            </w:r>
          </w:p>
        </w:tc>
        <w:tc>
          <w:tcPr>
            <w:tcW w:w="2018" w:type="dxa"/>
            <w:vAlign w:val="center"/>
          </w:tcPr>
          <w:p>
            <w:pPr>
              <w:widowControl/>
              <w:rPr>
                <w:rFonts w:ascii="黑体" w:hAnsi="宋体" w:eastAsia="黑体" w:cs="宋体"/>
                <w:color w:val="000000"/>
                <w:kern w:val="0"/>
                <w:sz w:val="22"/>
                <w:highlight w:val="none"/>
              </w:rPr>
            </w:pPr>
            <w:r>
              <w:rPr>
                <w:rFonts w:hint="eastAsia" w:ascii="仿宋_GB2312" w:hAnsi="宋体" w:eastAsia="仿宋_GB2312"/>
                <w:color w:val="000000"/>
                <w:sz w:val="18"/>
                <w:szCs w:val="18"/>
                <w:highlight w:val="none"/>
              </w:rPr>
              <w:t>公示栏等平台和办事大厅、</w:t>
            </w:r>
            <w:r>
              <w:rPr>
                <w:rFonts w:hint="eastAsia" w:ascii="仿宋_GB2312" w:hAnsi="宋体" w:eastAsia="仿宋_GB2312"/>
                <w:strike w:val="0"/>
                <w:dstrike w:val="0"/>
                <w:color w:val="000000"/>
                <w:sz w:val="18"/>
                <w:szCs w:val="18"/>
                <w:highlight w:val="none"/>
              </w:rPr>
              <w:t>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4</w:t>
            </w:r>
          </w:p>
        </w:tc>
        <w:tc>
          <w:tcPr>
            <w:tcW w:w="9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计划实施</w:t>
            </w: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任务分配</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及时公开农村危房改造补助农户名单</w:t>
            </w:r>
          </w:p>
        </w:tc>
        <w:tc>
          <w:tcPr>
            <w:tcW w:w="1800" w:type="dxa"/>
            <w:vAlign w:val="center"/>
          </w:tcPr>
          <w:p>
            <w:pPr>
              <w:widowControl/>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分配结果确定后20个工作日内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住房和城乡建设等相关职能部门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办事大厅、公示栏、便民服务窗口等场所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p>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6</w:t>
            </w:r>
          </w:p>
        </w:tc>
        <w:tc>
          <w:tcPr>
            <w:tcW w:w="90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条件与标准</w:t>
            </w:r>
          </w:p>
        </w:tc>
        <w:tc>
          <w:tcPr>
            <w:tcW w:w="126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农村危房等级评定标准</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农村危房等级评定相关标准</w:t>
            </w:r>
          </w:p>
        </w:tc>
        <w:tc>
          <w:tcPr>
            <w:tcW w:w="180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7</w:t>
            </w:r>
          </w:p>
        </w:tc>
        <w:tc>
          <w:tcPr>
            <w:tcW w:w="900" w:type="dxa"/>
            <w:vMerge w:val="continue"/>
            <w:vAlign w:val="center"/>
          </w:tcPr>
          <w:p>
            <w:pPr>
              <w:jc w:val="center"/>
              <w:rPr>
                <w:rFonts w:hint="eastAsia" w:ascii="仿宋_GB2312" w:hAnsi="宋体" w:eastAsia="仿宋_GB2312"/>
                <w:color w:val="000000"/>
                <w:sz w:val="18"/>
                <w:szCs w:val="18"/>
                <w:highlight w:val="none"/>
              </w:rPr>
            </w:pP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农村危房改造对象申请条件</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农村危房改造农户申请条件</w:t>
            </w:r>
          </w:p>
        </w:tc>
        <w:tc>
          <w:tcPr>
            <w:tcW w:w="18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住房和城乡建设等相关职能部门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8</w:t>
            </w:r>
          </w:p>
        </w:tc>
        <w:tc>
          <w:tcPr>
            <w:tcW w:w="90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条件与标准</w:t>
            </w: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农村危房改造资金补助标准</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农村危房改造资金补助标准</w:t>
            </w:r>
          </w:p>
        </w:tc>
        <w:tc>
          <w:tcPr>
            <w:tcW w:w="18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住房和城乡建设部门、财政等部门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9</w:t>
            </w:r>
          </w:p>
        </w:tc>
        <w:tc>
          <w:tcPr>
            <w:tcW w:w="900" w:type="dxa"/>
            <w:vMerge w:val="continue"/>
            <w:vAlign w:val="center"/>
          </w:tcPr>
          <w:p>
            <w:pPr>
              <w:jc w:val="center"/>
              <w:rPr>
                <w:rFonts w:hint="eastAsia" w:ascii="仿宋_GB2312" w:hAnsi="宋体" w:eastAsia="仿宋_GB2312"/>
                <w:color w:val="000000"/>
                <w:sz w:val="18"/>
                <w:szCs w:val="18"/>
                <w:highlight w:val="none"/>
              </w:rPr>
            </w:pP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农村危房改造竣工合格标准</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农村危房改造竣工验收要求</w:t>
            </w:r>
          </w:p>
        </w:tc>
        <w:tc>
          <w:tcPr>
            <w:tcW w:w="18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10</w:t>
            </w:r>
          </w:p>
        </w:tc>
        <w:tc>
          <w:tcPr>
            <w:tcW w:w="90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对象认定</w:t>
            </w:r>
          </w:p>
        </w:tc>
        <w:tc>
          <w:tcPr>
            <w:tcW w:w="126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危改户认定程序</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农村危房改造申请程序</w:t>
            </w:r>
          </w:p>
        </w:tc>
        <w:tc>
          <w:tcPr>
            <w:tcW w:w="18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县级住房和城乡建设部门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11</w:t>
            </w:r>
          </w:p>
        </w:tc>
        <w:tc>
          <w:tcPr>
            <w:tcW w:w="900" w:type="dxa"/>
            <w:vMerge w:val="continue"/>
            <w:vAlign w:val="center"/>
          </w:tcPr>
          <w:p>
            <w:pPr>
              <w:jc w:val="center"/>
              <w:rPr>
                <w:rFonts w:hint="eastAsia" w:ascii="仿宋_GB2312" w:hAnsi="宋体" w:eastAsia="仿宋_GB2312"/>
                <w:color w:val="000000"/>
                <w:sz w:val="18"/>
                <w:szCs w:val="18"/>
                <w:highlight w:val="none"/>
              </w:rPr>
            </w:pP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认定结果</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认定结果</w:t>
            </w:r>
          </w:p>
        </w:tc>
        <w:tc>
          <w:tcPr>
            <w:tcW w:w="18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乡镇人民政府、村委会</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办事大厅、公示栏、便民服务窗口等场所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13</w:t>
            </w:r>
          </w:p>
        </w:tc>
        <w:tc>
          <w:tcPr>
            <w:tcW w:w="9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决策部署</w:t>
            </w: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决策部署落实情况</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决策部署落实情况等</w:t>
            </w:r>
          </w:p>
        </w:tc>
        <w:tc>
          <w:tcPr>
            <w:tcW w:w="1800" w:type="dxa"/>
            <w:vMerge w:val="restart"/>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《关于全面推进政务公开工作的意见》及其实施细则</w:t>
            </w: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办事大厅、公示栏、便民服务窗口等场所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Times New Roman" w:hAnsi="Times New Roman"/>
                <w:color w:val="000000"/>
                <w:kern w:val="0"/>
                <w:sz w:val="16"/>
                <w:szCs w:val="16"/>
                <w:highlight w:val="none"/>
              </w:rPr>
            </w:pPr>
            <w:r>
              <w:rPr>
                <w:rFonts w:hint="eastAsia" w:ascii="Times New Roman" w:hAnsi="Times New Roman"/>
                <w:color w:val="000000"/>
                <w:kern w:val="0"/>
                <w:sz w:val="16"/>
                <w:szCs w:val="16"/>
                <w:highlight w:val="none"/>
              </w:rPr>
              <w:t>14</w:t>
            </w:r>
          </w:p>
        </w:tc>
        <w:tc>
          <w:tcPr>
            <w:tcW w:w="90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年度任务实施</w:t>
            </w:r>
          </w:p>
        </w:tc>
        <w:tc>
          <w:tcPr>
            <w:tcW w:w="126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年度任务执行情况</w:t>
            </w:r>
          </w:p>
        </w:tc>
        <w:tc>
          <w:tcPr>
            <w:tcW w:w="19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年度工作完成情况等</w:t>
            </w:r>
          </w:p>
        </w:tc>
        <w:tc>
          <w:tcPr>
            <w:tcW w:w="1800" w:type="dxa"/>
            <w:vMerge w:val="continue"/>
            <w:vAlign w:val="center"/>
          </w:tcPr>
          <w:p>
            <w:pPr>
              <w:rPr>
                <w:rFonts w:hint="eastAsia" w:ascii="仿宋_GB2312" w:hAnsi="宋体" w:eastAsia="仿宋_GB2312"/>
                <w:color w:val="000000"/>
                <w:sz w:val="18"/>
                <w:szCs w:val="18"/>
                <w:highlight w:val="none"/>
              </w:rPr>
            </w:pPr>
          </w:p>
        </w:tc>
        <w:tc>
          <w:tcPr>
            <w:tcW w:w="1402"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信息形成之日起20个工作日内</w:t>
            </w:r>
          </w:p>
        </w:tc>
        <w:tc>
          <w:tcPr>
            <w:tcW w:w="144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住房和城乡建设部门</w:t>
            </w:r>
          </w:p>
        </w:tc>
        <w:tc>
          <w:tcPr>
            <w:tcW w:w="2018"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办事大厅、公示栏、便民服务窗口等场所</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C7B0E"/>
    <w:rsid w:val="21870D4F"/>
    <w:rsid w:val="42AC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2020-10-29T01:02:00Z</dcterms:created>
  <dc:creator>NTKO</dc:creator>
  <cp:lastModifiedBy>石岐总值班室（23328546）</cp:lastModifiedBy>
  <dcterms:modified xsi:type="dcterms:W3CDTF">2022-11-30T02:28:10Z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FB47607872994C749EA65666B842C4B9</vt:lpwstr>
  </property>
</Properties>
</file>