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中山市民政局项目采购评审表（服务类）</w:t>
      </w:r>
      <w:bookmarkStart w:id="0" w:name="_GoBack"/>
      <w:bookmarkEnd w:id="0"/>
    </w:p>
    <w:p>
      <w:pPr>
        <w:ind w:left="0" w:leftChars="0" w:firstLine="0" w:firstLineChars="0"/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项目名称：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eastAsia" w:ascii="仿宋_GB2312" w:eastAsia="仿宋_GB2312"/>
          <w:sz w:val="32"/>
          <w:szCs w:val="32"/>
        </w:rPr>
        <w:t>社会组织法人变更注销审计工作</w:t>
      </w:r>
      <w:r>
        <w:rPr>
          <w:rFonts w:hint="eastAsia" w:ascii="仿宋_GB2312" w:eastAsia="仿宋_GB2312"/>
          <w:sz w:val="32"/>
          <w:szCs w:val="32"/>
          <w:lang w:eastAsia="zh-CN"/>
        </w:rPr>
        <w:t>项目</w:t>
      </w:r>
    </w:p>
    <w:tbl>
      <w:tblPr>
        <w:tblStyle w:val="3"/>
        <w:tblW w:w="141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5064"/>
        <w:gridCol w:w="850"/>
        <w:gridCol w:w="2383"/>
        <w:gridCol w:w="2532"/>
        <w:gridCol w:w="24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序号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评审指标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分值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单位1</w:t>
            </w: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单位2</w:t>
            </w: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  <w:shd w:val="clear" w:color="auto" w:fill="FFFFFF"/>
              </w:rPr>
              <w:t>单位3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36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总体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  <w:t>履约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能力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：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服务目标明确、服务质量周全、工作内容及相关保障措施恰当，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企业信用良好；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20-25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服务目标较明确、服务质量较周全、工作内容及相关保障措施较恰当，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企业信用良好；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13-19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36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服务没有目标、服务质量不周全、工作内容匮乏、没有相关保障措施，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企业信用一般；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5-12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或有相关违法失信行为的，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服务方案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：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服务方案、服务流程内容清晰、目标明确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、有针对性；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20-25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 xml:space="preserve"> 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服务方案、服务流程内容较清晰、目标较明确；得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13-19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服务方案、服务流程内容单调、目标不明确，未能提出针对性较专业的服务方案；得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5-12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无方案，得0分。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投入本项目的人员保障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优：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 w:bidi="ar"/>
              </w:rPr>
              <w:t>审计组成员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 w:bidi="ar"/>
              </w:rPr>
              <w:t>10人（含）及以上，组长为中级会计师及以上，有10年及以上工作经验，成员中中级会计师2人及以上（含组长），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人员较稳定、保障措施可行、培养培训制度完善，得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20-25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良：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 w:bidi="ar"/>
              </w:rPr>
              <w:t>审计组成员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 w:bidi="ar"/>
              </w:rPr>
              <w:t>10人（含）及以上，组长为中级会计师及以上，有5年及以上工作经验，成员中中级会计师2人及以上（含组长），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人员比较稳定、保障措施基本可行、培养培训制度基本完善，得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13-19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一般：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eastAsia="zh-CN" w:bidi="ar"/>
              </w:rPr>
              <w:t>审计组成员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Cs w:val="21"/>
                <w:lang w:val="en-US" w:eastAsia="zh-CN" w:bidi="ar"/>
              </w:rPr>
              <w:t>10人（含）及以上，组长为助理会计师，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人员不稳定、无保障措施、培养培训制度不完善，得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5-12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分；</w:t>
            </w:r>
          </w:p>
          <w:p>
            <w:pPr>
              <w:spacing w:line="400" w:lineRule="exact"/>
              <w:rPr>
                <w:rFonts w:ascii="宋体" w:hAnsi="宋体" w:eastAsia="宋体" w:cs="宋体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差：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审计组成员不足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10人，且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不符合项目资质要求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，得0分。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近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  <w:t>两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年（20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22-2023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年）承接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eastAsia="zh-CN" w:bidi="ar"/>
              </w:rPr>
              <w:t>政府委托的同类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项目的情况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承接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政府委托的同类型社会组织审计项目，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每个得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分，满分15分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 w:bidi="ar"/>
              </w:rPr>
              <w:t>。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5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报价情况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（采用低价优先法计算分值）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92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合计得分</w:t>
            </w: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bidi="ar"/>
              </w:rPr>
              <w:t>100</w:t>
            </w:r>
          </w:p>
        </w:tc>
        <w:tc>
          <w:tcPr>
            <w:tcW w:w="23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2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</w:tbl>
    <w:p>
      <w:pPr>
        <w:pStyle w:val="2"/>
        <w:ind w:firstLine="640"/>
        <w:rPr>
          <w:rFonts w:hint="eastAsia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评审人签名：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　　　　　　　　　　　　　　　　　　　　　　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日期：     年   月   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日</w:t>
      </w:r>
    </w:p>
    <w:p>
      <w:pPr>
        <w:spacing w:line="220" w:lineRule="atLeast"/>
      </w:pPr>
    </w:p>
    <w:sectPr>
      <w:pgSz w:w="16838" w:h="11906" w:orient="landscape"/>
      <w:pgMar w:top="1803" w:right="1440" w:bottom="1803" w:left="1440" w:header="851" w:footer="992" w:gutter="0"/>
      <w:cols w:space="720" w:num="1"/>
      <w:rtlGutter w:val="0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946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冯绮婷</cp:lastModifiedBy>
  <dcterms:modified xsi:type="dcterms:W3CDTF">2024-01-12T02:31:46Z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B683787F4E904EED9DB3FF9F1415E736</vt:lpwstr>
  </property>
</Properties>
</file>