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黄圃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  <w:lang w:eastAsia="zh-CN"/>
        </w:rPr>
        <w:t>广东铸锐工业发展有限公司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</w:rPr>
        <w:t>“工改工”宗地项目“三旧”改造方案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924" w:firstLineChars="3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</w:rPr>
        <w:t>根据中山市城市更新（“三旧”改造）专项规划和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控制性详细规划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黄圃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镇人民政府拟对位于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黄圃镇食品工业园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广东铸锐工业发展有限公司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旧厂房用地进行改造，由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广东铸锐工业发展有限公司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自行改造，采取全面改造的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黄圃镇兆丰村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，北至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中山市黄圃镇兆丰村第五股份合作经济社集体土地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，南至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健业路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，东至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中山市舒美特厨具有限公司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，西至李梅先、陈丽仪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3.5582公顷（35582平方米，折合约53.37亩），其中地块一用地面积2.0431公顷（20430.54平方米，折合约30.65亩），地块二用地面积1.5151公顷（15151.46平方米，折合约22.73亩）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（二）标图入库情况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纳入标图入库，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图斑编号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分别为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44200026425，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图斑面积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39406.95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平方米平方米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本次改造地块位于上述图斑内，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纳入本次改造范围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（三）权属情况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改造范围内全部属集体建设用地，</w:t>
      </w:r>
      <w:r>
        <w:rPr>
          <w:rFonts w:hint="eastAsia" w:ascii="仿宋_GB2312" w:hAnsi="仿宋_GB2312" w:eastAsia="仿宋_GB2312" w:cs="仿宋_GB2312"/>
          <w:spacing w:val="-6"/>
          <w:sz w:val="32"/>
          <w:lang w:eastAsia="zh-CN"/>
        </w:rPr>
        <w:t>已确权登记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所有权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证号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为粤(2016)中山市不动产权第0034188号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权利人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为中山市黄圃镇兆丰村股份合作经济联合社农民集体，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eastAsia="zh-CN"/>
        </w:rPr>
        <w:t>广东铸锐工业发展有限公司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月开始使用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改造地块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分别于2002年11月9日、2003年6月20日、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2013年2月1日、2013年1月18日、2013年1月18日以及2005年8月23日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黄圃镇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下属全资集体企业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公司与黄圃镇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兆丰村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民委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会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分别签订《关于征用黄圃镇兆丰村土地协议书》、《关于征用黄圃镇兆丰村五、八、九队土地协议书》、《关于征用黄圃镇兆丰村二、八、九队土地协议书》、《解决兆丰村第二股份合作经济社20%征地款的补充协议》、《解决兆丰村第八股份合作经济社20%征地款的补充协议》、《解决兆丰村第九股份合作经济社20%征地款的补充协议》以及《&lt;关于征用黄圃镇兆丰村五、八、九队土地协议书&gt;补充协议》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于2003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年至20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年期间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已全额支付兑现征地补偿款、青苗费等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；于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2004年1月2日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与麦考荣、陈建全、翁淑芬、陈炳坚等5人签订《中山市食品工业园出售土地合同书》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将改造地块权益转让给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麦考荣、陈建全、翁淑芬、陈炳坚等5人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，于2004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至2023年期间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；于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2004年6月18日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与何启志、陈少兰、梁祺英等3人签订《中山市食品工业园土地让合同书》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将改造地块权益转让给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何启志、陈少兰、梁祺英等3人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，于2004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至2023年期间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；于2005年7月8日中山市食品工业示范基地开发有限公司与陈少兰签订《中山市食品工业示范基地开发有限公司土地让合同书》，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将改造地块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权益转让给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陈少兰，于2005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至2023年期间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；于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2005年7月8日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与梁祺英签订《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土地让合同书》，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将改造地块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权益转让给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梁祺英，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于2005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至2023年期间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；于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2023年4月15日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梁祺英、翁淑芬、陈少兰、陈炳坚、麦考荣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等5人与黄啟旋签订《土地转让合同》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将改造地块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权益转让给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黄啟旋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于2023年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；于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2023年4月15日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梁祺英、翁淑芬、陈少兰、陈炳坚、麦考荣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等5人与黄啟旋签订《土地转让合同》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将改造地块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权益转让给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黄啟旋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于2023年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；于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2023年5月10日陈健全（包含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麦考荣份额在内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）与黄啟旋签订《土地转让合同》，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将改造地块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权益转让给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黄啟旋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于2023年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因历史原因该地块一直未完善用地手续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项目用地由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原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实际使用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权人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黄啟旋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成立的全资项目公司广东铸锐工业发展有限公司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作为改造主体实施改造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（四）土地利用现状情况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改造地块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在二调及最新土地利用现状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为建设用地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不涉及纳入改造范围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地块现用途为工业，有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栋建筑物，为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黄啟旋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2005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月开始使用，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未办理规划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报建手续，现有建筑面积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32402.17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平方米，现状容积率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0.91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作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工业厂房和配套用房使用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。目前该地块尚未拆除建筑，改造前年产值为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万元，年税收为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地块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不涉及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val="en-US" w:eastAsia="zh-CN"/>
        </w:rPr>
        <w:t>闲置、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抵押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历史文化资源要素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eastAsia="zh-CN"/>
        </w:rPr>
        <w:t>土壤环境潜在监管地块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等情况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符合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总体规划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和控制性详细规划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已纳入《中山市城市更新（“三旧”改造）专项规划（2020-2035年）》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。其中，在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总体规划中，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属城镇建设用地；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地块一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在《中山市黄圃镇食品工业园控制性详细规划调整（2021）》中，一类工业用地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1.8121公顷（18120.84平方米，折合约27.18亩)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，规划容积率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1-3.5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，建筑密度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35%-60%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，绿地率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10%-15%，生产性建筑高度≤50米（特殊工艺除外），配套设施建筑高度≤100米，公园绿地0.184公顷（1840.31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2.76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)，道路用地0.0469公顷（469.39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)；地块二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在《中山市黄圃镇食品工业园控制性详细规划调整（2021）》中，一类工业用地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1.3654公顷（13653.75平方米，折合约20.48亩)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，规划容积率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1-3.5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，建筑密度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35%-60%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，绿地率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10%-15%，生产性建筑高度≤50米（特殊工艺除外），配套设施建筑高度≤100米,公园绿地0.1063公顷（1062.8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1.59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)，道路用地0.0435公顷（434.91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0.65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均位于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城镇开发边界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和工业用地保护红线内，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涉及到永久基本农田、生态保护红线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市域蓝线规划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等管控要求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改造意愿情况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及补偿安置情况</w:t>
      </w:r>
    </w:p>
    <w:p>
      <w:pPr>
        <w:spacing w:line="574" w:lineRule="exact"/>
        <w:ind w:firstLine="616" w:firstLineChars="200"/>
        <w:outlineLvl w:val="1"/>
        <w:rPr>
          <w:rFonts w:ascii="楷体" w:hAnsi="楷体" w:eastAsia="楷体" w:cs="楷体"/>
          <w:spacing w:val="-6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highlight w:val="none"/>
        </w:rPr>
        <w:t>（一）改造意愿情况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eastAsia="zh-CN"/>
        </w:rPr>
        <w:t>广东铸锐工业发展有限公司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1个权利主体，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黄圃镇人民政府已按照法律法规，就改造范围、土地现状、改造主体及拟改造情况等事项征询涉及所有权利人改造意愿，同意将涉及土地、房屋纳入改造范围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2"/>
        </w:numPr>
        <w:spacing w:line="574" w:lineRule="exact"/>
        <w:ind w:firstLine="616" w:firstLineChars="200"/>
        <w:outlineLvl w:val="1"/>
        <w:rPr>
          <w:rFonts w:ascii="楷体" w:hAnsi="楷体" w:eastAsia="楷体" w:cs="楷体"/>
          <w:spacing w:val="-6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highlight w:val="none"/>
        </w:rPr>
        <w:t>补偿安置情况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highlight w:val="none"/>
          <w:lang w:val="en-US" w:eastAsia="zh-CN"/>
        </w:rPr>
        <w:t>土地征收情况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eastAsia="仿宋_GB2312" w:cs="Calibri"/>
          <w:spacing w:val="-6"/>
          <w:sz w:val="32"/>
          <w:highlight w:val="none"/>
          <w:u w:val="none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地块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地块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已由中山市黄圃镇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公司于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日与黄圃镇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兆丰村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民委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会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签订《关于征用黄圃镇兆丰村五、八、九队土地协议书》，总征地面积约224.5256亩，采取一次性货币补偿和分年补偿方式，于2003年至2013年期间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后更名为中山市食品工业示范基地开发有限公司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已向兆丰村第五、八、九股份合作经济社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eastAsia="仿宋_GB2312" w:cs="Calibri"/>
          <w:spacing w:val="-6"/>
          <w:sz w:val="3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地块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地块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二有6403.79平方米土地在上述1.1中《关于征用黄圃镇兆丰村五、八、九队土地协议书》的征地范围内，已与上述地块一一并完成征地补偿事宜；另有8749.12平方米土地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已由中山市黄圃镇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公司于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日与黄圃镇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兆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丰村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民委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会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签订《关于征用黄圃镇兆丰村二、八、九队土地协议书》，总征地面积约131.7419亩，采取一次性货币补偿和分年补偿方式，于2003年至2013年期间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后更名为中山市食品工业示范基地开发有限公司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已向兆丰村第二、八、九股份合作经济社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；另有343平方米土地已由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公司于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日与黄圃镇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兆丰村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民委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会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签订《关于征用黄圃镇兆丰村土地协议书》，总征地面积约5.7424亩，采取一次性货币补偿方式，于2003年至2013年期间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后更名为中山市食品工业示范基地开发有限公司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已向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兆丰村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民委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会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2、转让土地情况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2.1初次转让情况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在2004年1月2日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与麦考荣、陈建全、翁淑芬、陈炳坚等5人签订《中山市食品工业园出售土地合同书》(合同编号：（2004）食字第02号)，麦考荣、陈建全、翁淑芬、陈炳坚等5人有偿承接上述1.1征收土地范围内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224.5256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亩中33.4916亩用地，麦考荣、陈建全、翁淑芬、陈炳坚等5人已向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。另王伟雄与麦考荣于2005年5月11日经双方协商沟通后签订《土地使用权确权协议》，将上述转让地块中王伟雄所占份额4亩土地的使用权转麦考荣名下，麦考荣已向王伟雄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在2004年6月18日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与何启志、陈少兰、梁祺英等3人签订《中山市食品工业园土地让合同书》(合同编号：（2004）食字第08号)，何启志、陈少兰、梁祺英等3人有偿承接上述1.1和1.2征收土地范围内的51.3271亩用地，何启志、陈少兰、梁祺英等3人已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中山市黄圃镇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工业开发有限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公司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在2005年7月8日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与陈少兰签订《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土地让合同书》(合同编号：（2005）发字第06号)，陈少兰有偿承接上述1.2征地土地范围内的2.0443亩用地，陈少兰已向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中山市食品工业示范基地开发有限公司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spacing w:line="574" w:lineRule="exact"/>
        <w:ind w:firstLine="592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在2005年7月8日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与梁祺英签订《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土地让合同书》(合同编号：（2005）发字第07号)，陈少兰有偿承接上述1.1和1.2征地土地范围内的1.6103亩用地，陈少兰已向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中山市食品工业示范基地开发有限公司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足额支付土地款209,339元。</w:t>
      </w:r>
    </w:p>
    <w:p>
      <w:pPr>
        <w:spacing w:line="574" w:lineRule="exact"/>
        <w:ind w:firstLine="592" w:firstLineChars="0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、最终转让情况</w:t>
      </w:r>
    </w:p>
    <w:p>
      <w:pPr>
        <w:spacing w:line="574" w:lineRule="exact"/>
        <w:ind w:firstLine="592" w:firstLineChars="0"/>
        <w:outlineLvl w:val="9"/>
        <w:rPr>
          <w:rFonts w:hint="default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在2023年4月15日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梁祺英、翁淑芬、陈少兰、陈炳坚、麦考荣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等5人（以下简称“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梁祺英等5人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”）与黄啟旋签订《土地转让合同》，黄啟旋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有偿承接上述2.1初次转让情况中梁祺英等5人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相应份额土地共约56亩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，黄啟旋已向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梁祺英等5人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。</w:t>
      </w:r>
    </w:p>
    <w:p>
      <w:pPr>
        <w:widowControl/>
        <w:spacing w:line="574" w:lineRule="exact"/>
        <w:ind w:firstLine="592" w:firstLineChars="0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在2023年5月10日陈健全与黄啟旋签订《土地转让合同》，黄啟旋有偿承接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上述2.1初次转让情况中陈健全份额约9亩土地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，黄啟旋已向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陈健全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。</w:t>
      </w:r>
    </w:p>
    <w:p>
      <w:pPr>
        <w:widowControl/>
        <w:spacing w:line="574" w:lineRule="exact"/>
        <w:ind w:firstLine="592" w:firstLineChars="0"/>
        <w:outlineLvl w:val="9"/>
        <w:rPr>
          <w:rFonts w:hint="default" w:ascii="仿宋_GB2312" w:hAnsi="仿宋_GB2312" w:eastAsia="仿宋_GB2312" w:cs="仿宋_GB2312"/>
          <w:spacing w:val="-6"/>
          <w:sz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综上所述，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黄啟旋合计有偿承接食品工业园土地约65亩，经黄啟旋确认实际完善用地手续总面积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3.6291公顷（36290.74平方米，折合约54.43亩）。</w:t>
      </w:r>
    </w:p>
    <w:p>
      <w:pPr>
        <w:widowControl/>
        <w:spacing w:line="574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截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eastAsia="zh-CN"/>
        </w:rPr>
        <w:t>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目前，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改造地块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的补偿安置等问题未引发任何纠纷，被征地农民对征地补偿安置也无不同意见。中山市自然资源局已按照用地发生时的土地管理法律法规落实处理，根据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行政处罚决定书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（中土执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法决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字〔20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〕第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2260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（中土执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法决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字〔20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〕第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2261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（中土执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法决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字〔20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〕第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2262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（中土执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法决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字〔20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〕第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2263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（中土执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法决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字〔20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〕第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2264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（中土执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法决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字〔20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〕第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2265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号），对非法占地行为作出决定处罚：按非法占用土地面积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82969.6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平方米处以每平方米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元的罚款，合计罚款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179281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元。当事人已按《行政处罚决定书》缴纳罚款。行政处罚范围包含改造项目范围在内。</w:t>
      </w:r>
    </w:p>
    <w:p>
      <w:pPr>
        <w:numPr>
          <w:ilvl w:val="0"/>
          <w:numId w:val="2"/>
        </w:numPr>
        <w:spacing w:line="574" w:lineRule="exact"/>
        <w:ind w:firstLine="616" w:firstLineChars="200"/>
        <w:outlineLvl w:val="1"/>
        <w:rPr>
          <w:rFonts w:ascii="楷体" w:hAnsi="楷体" w:eastAsia="楷体" w:cs="楷体"/>
          <w:spacing w:val="-6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highlight w:val="none"/>
        </w:rPr>
        <w:t>开展社会稳定风险评估情况</w:t>
      </w:r>
    </w:p>
    <w:p>
      <w:pPr>
        <w:widowControl/>
        <w:spacing w:line="240" w:lineRule="auto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改造地块涉及征收土地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3.5582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公顷，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黄圃镇政府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按规定开展社会稳定风险评估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黄圃镇政府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负责落实风险防范及化解措施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三、改造主体及拟改造情况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</w:rPr>
        <w:t>总体规划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控制性详细规划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管控要求实施建设。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该改造项目属“工改工”宗地项目，拟采取权利人自主改造方式，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由原权利人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黄啟旋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成立全资项目公司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eastAsia="zh-CN"/>
        </w:rPr>
        <w:t>广东铸锐工业发展有限公司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作为改造主体，实施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。改造后将用于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</w:rPr>
        <w:t>工业生产，作智能家电、智慧家居、新一代信息技术和先进装备制造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的研发和生产。</w:t>
      </w:r>
      <w:r>
        <w:rPr>
          <w:rFonts w:hint="default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在符合控制性详细规划的基础上，容积率不小于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3.22，总建筑面积不小于102278.69平方米，其中新建建筑面积101378.69平方米（含不计容建筑面积900平方米），不保留原有建筑。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项目相关情况符合《产业结构调整指导目录》《中山市“三线一单”生态环境分区管控方案》《中山市涉挥发性有机物项目环保管理规定》相关规定。改造后预计年产值将达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28596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万元（约600万元/亩），年税收将达1429.8万元（约30万元/亩）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需办理的用地手续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改造范围内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3.5582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公顷（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35582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53.373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亩）用地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需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办理集体土地完善转用、征收手续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根据《广东省旧城镇旧厂房旧村庄改造管理办法》（粤府令第279号）《广东省“三旧”改造标图入库和用地报批工作指引（2021年版）（粤自然资函）〔2021〕935号》相关规定，改造地块符合办理集体土地完善转用、征收手续的要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。上述用地完善转用、征收手续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后，依据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中山市黄圃镇食品工业园控制性详细规划调整（2021）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3.1775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公顷（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31774.59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平方米，折合约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47.66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亩）规划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类工业用地拟采用协议出让方式供地到广东铸锐工业发展有限公司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名下，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根据《广东省旧城镇旧厂房旧村庄改造管理办法》（粤府令第279号）规定，“三旧”用地、“三地”和其他用地，除政府收储后按照规定划拨或者公开出让的情形外，可以以协议方式出让给符合条件的改造主体，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符合上述协议出让的条件；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其余规划为公园绿地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0.2903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公顷（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2903.11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平方米，折合约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4.35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亩)以及道路用地0.09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公顷（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904.3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平方米，折合约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1.36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拟采用无偿划拨方式供地给黄圃镇人民政府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（上述具体土地面积以实际供地面积为准）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改造主体拟投入资金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28596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万元，其中自有资金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17000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银行借贷11596万元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仿宋_GB2312" w:hAnsi="仿宋_GB2312" w:eastAsia="宋体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项目开发周期为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年，拟分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期开发。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自土地交付之日起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365日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工建设，自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工之日起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1095日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内竣工，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28596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一期项目土地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开发时间为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工之日起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1095日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内竣工，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拟建建筑面积51000平方米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（含不计容建筑面积900平方米）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，主要实施工业厂房建设；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二期项目土地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开发时间为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2024年12月，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工之日起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730日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内竣工，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拟建建筑面积52278.69平方米，主要实施工业厂房建设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黑体" w:hAnsi="黑体" w:eastAsia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  <w:highlight w:val="none"/>
        </w:rPr>
        <w:t>、实施监管</w:t>
      </w:r>
    </w:p>
    <w:p>
      <w:pPr>
        <w:spacing w:line="240" w:lineRule="auto"/>
        <w:ind w:firstLine="616" w:firstLineChars="200"/>
        <w:rPr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详见项目实施监管协议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DAFBE"/>
    <w:multiLevelType w:val="singleLevel"/>
    <w:tmpl w:val="13CDAF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CA85F6"/>
    <w:multiLevelType w:val="singleLevel"/>
    <w:tmpl w:val="61CA85F6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jkyZWM2M2RlOGI4NGU0ZGFlYjViOGJhNzBhZWYifQ=="/>
  </w:docVars>
  <w:rsids>
    <w:rsidRoot w:val="00000000"/>
    <w:rsid w:val="002A5B0B"/>
    <w:rsid w:val="005658DB"/>
    <w:rsid w:val="00AB6CF3"/>
    <w:rsid w:val="00B342C7"/>
    <w:rsid w:val="00CC4F83"/>
    <w:rsid w:val="01B361CC"/>
    <w:rsid w:val="01B80645"/>
    <w:rsid w:val="02C9625F"/>
    <w:rsid w:val="030E0808"/>
    <w:rsid w:val="03B95D46"/>
    <w:rsid w:val="04B44530"/>
    <w:rsid w:val="04B50431"/>
    <w:rsid w:val="04D42B5F"/>
    <w:rsid w:val="054B3BB1"/>
    <w:rsid w:val="063C4668"/>
    <w:rsid w:val="067C069D"/>
    <w:rsid w:val="06AB501D"/>
    <w:rsid w:val="06AD3E4F"/>
    <w:rsid w:val="06EA3F7C"/>
    <w:rsid w:val="073D53EE"/>
    <w:rsid w:val="078A56A5"/>
    <w:rsid w:val="07A83933"/>
    <w:rsid w:val="07BB3385"/>
    <w:rsid w:val="08123935"/>
    <w:rsid w:val="08502D7A"/>
    <w:rsid w:val="09235369"/>
    <w:rsid w:val="0A0779D0"/>
    <w:rsid w:val="0A232419"/>
    <w:rsid w:val="0A2C47BA"/>
    <w:rsid w:val="0A5652CE"/>
    <w:rsid w:val="0AD87D5F"/>
    <w:rsid w:val="0B3B393F"/>
    <w:rsid w:val="0BB96B3C"/>
    <w:rsid w:val="0C961313"/>
    <w:rsid w:val="0CF94CB8"/>
    <w:rsid w:val="0D385FEF"/>
    <w:rsid w:val="0D6A4A4B"/>
    <w:rsid w:val="0D6F6DAC"/>
    <w:rsid w:val="0DB06593"/>
    <w:rsid w:val="0DC00DC3"/>
    <w:rsid w:val="0E2F0D1A"/>
    <w:rsid w:val="0E442473"/>
    <w:rsid w:val="0E880CEF"/>
    <w:rsid w:val="0E9F2044"/>
    <w:rsid w:val="0EEE3514"/>
    <w:rsid w:val="0FD949E5"/>
    <w:rsid w:val="10090575"/>
    <w:rsid w:val="116E12A3"/>
    <w:rsid w:val="11DE6B73"/>
    <w:rsid w:val="120D1A31"/>
    <w:rsid w:val="12476619"/>
    <w:rsid w:val="12487239"/>
    <w:rsid w:val="12532DCB"/>
    <w:rsid w:val="12EA0C3B"/>
    <w:rsid w:val="1324011C"/>
    <w:rsid w:val="13A653F2"/>
    <w:rsid w:val="13C96E5A"/>
    <w:rsid w:val="140A42B5"/>
    <w:rsid w:val="145C7162"/>
    <w:rsid w:val="14720D9C"/>
    <w:rsid w:val="14886115"/>
    <w:rsid w:val="14914A8C"/>
    <w:rsid w:val="149570C7"/>
    <w:rsid w:val="14A41CC1"/>
    <w:rsid w:val="14DF1632"/>
    <w:rsid w:val="154E3B5E"/>
    <w:rsid w:val="15681490"/>
    <w:rsid w:val="15BD004D"/>
    <w:rsid w:val="15F87315"/>
    <w:rsid w:val="15FD48CE"/>
    <w:rsid w:val="16BC7588"/>
    <w:rsid w:val="16FD19F6"/>
    <w:rsid w:val="175B1F3F"/>
    <w:rsid w:val="17866D13"/>
    <w:rsid w:val="182B0812"/>
    <w:rsid w:val="1851735A"/>
    <w:rsid w:val="18DB30DD"/>
    <w:rsid w:val="1A1109D3"/>
    <w:rsid w:val="1A790E2B"/>
    <w:rsid w:val="1AB04418"/>
    <w:rsid w:val="1ACC6CA4"/>
    <w:rsid w:val="1B9937AE"/>
    <w:rsid w:val="1C0074A0"/>
    <w:rsid w:val="1C1C5327"/>
    <w:rsid w:val="1C314741"/>
    <w:rsid w:val="1C5862E6"/>
    <w:rsid w:val="1CA85730"/>
    <w:rsid w:val="1D644776"/>
    <w:rsid w:val="1D7E22BD"/>
    <w:rsid w:val="1DBD04DA"/>
    <w:rsid w:val="1DF85954"/>
    <w:rsid w:val="1E2721E6"/>
    <w:rsid w:val="1F316E54"/>
    <w:rsid w:val="1FAD7985"/>
    <w:rsid w:val="1FAE535E"/>
    <w:rsid w:val="1FB442AF"/>
    <w:rsid w:val="1FF2321C"/>
    <w:rsid w:val="20C26BB0"/>
    <w:rsid w:val="210A089E"/>
    <w:rsid w:val="210E4023"/>
    <w:rsid w:val="21A93CAA"/>
    <w:rsid w:val="21D13E07"/>
    <w:rsid w:val="21DD3950"/>
    <w:rsid w:val="21EB07A6"/>
    <w:rsid w:val="22AB6FED"/>
    <w:rsid w:val="22D5323E"/>
    <w:rsid w:val="22E41037"/>
    <w:rsid w:val="22FF2D1F"/>
    <w:rsid w:val="232C60EB"/>
    <w:rsid w:val="23950A53"/>
    <w:rsid w:val="23A221AF"/>
    <w:rsid w:val="23BF0FAD"/>
    <w:rsid w:val="23CC7894"/>
    <w:rsid w:val="23E10025"/>
    <w:rsid w:val="23F64280"/>
    <w:rsid w:val="24DA7642"/>
    <w:rsid w:val="24FC3D72"/>
    <w:rsid w:val="252047D7"/>
    <w:rsid w:val="252807CD"/>
    <w:rsid w:val="25662AE5"/>
    <w:rsid w:val="258E05F4"/>
    <w:rsid w:val="2596578B"/>
    <w:rsid w:val="25973209"/>
    <w:rsid w:val="25AB17E9"/>
    <w:rsid w:val="26474157"/>
    <w:rsid w:val="265D5C22"/>
    <w:rsid w:val="26AA1410"/>
    <w:rsid w:val="26FD47D6"/>
    <w:rsid w:val="271B299E"/>
    <w:rsid w:val="273307C3"/>
    <w:rsid w:val="27B82A74"/>
    <w:rsid w:val="27DA4FB6"/>
    <w:rsid w:val="27F07EA4"/>
    <w:rsid w:val="280742E7"/>
    <w:rsid w:val="282B222E"/>
    <w:rsid w:val="28F8523B"/>
    <w:rsid w:val="291F75C7"/>
    <w:rsid w:val="29C1661C"/>
    <w:rsid w:val="2A0666AE"/>
    <w:rsid w:val="2A6022F8"/>
    <w:rsid w:val="2A961618"/>
    <w:rsid w:val="2AD94114"/>
    <w:rsid w:val="2AF96930"/>
    <w:rsid w:val="2B9A5A5C"/>
    <w:rsid w:val="2C666A00"/>
    <w:rsid w:val="2C6F5308"/>
    <w:rsid w:val="2C831CFB"/>
    <w:rsid w:val="2CFC2EE7"/>
    <w:rsid w:val="2D6A3D37"/>
    <w:rsid w:val="2D74087F"/>
    <w:rsid w:val="2D9347F5"/>
    <w:rsid w:val="2DA328D9"/>
    <w:rsid w:val="2DFE6167"/>
    <w:rsid w:val="2E4E6207"/>
    <w:rsid w:val="2E9321E6"/>
    <w:rsid w:val="2E947C3C"/>
    <w:rsid w:val="2EDE4F6F"/>
    <w:rsid w:val="2F1F509D"/>
    <w:rsid w:val="2F2C6C85"/>
    <w:rsid w:val="2F954AA7"/>
    <w:rsid w:val="2FE546DD"/>
    <w:rsid w:val="30A86749"/>
    <w:rsid w:val="30E13FF7"/>
    <w:rsid w:val="310C0D96"/>
    <w:rsid w:val="31940E9D"/>
    <w:rsid w:val="31F06BEE"/>
    <w:rsid w:val="320227D4"/>
    <w:rsid w:val="322D097A"/>
    <w:rsid w:val="32386551"/>
    <w:rsid w:val="33090A4C"/>
    <w:rsid w:val="330A6390"/>
    <w:rsid w:val="33374333"/>
    <w:rsid w:val="333C2960"/>
    <w:rsid w:val="338D69D1"/>
    <w:rsid w:val="343C3D66"/>
    <w:rsid w:val="349F45DB"/>
    <w:rsid w:val="34B166F0"/>
    <w:rsid w:val="352914C3"/>
    <w:rsid w:val="35C11F23"/>
    <w:rsid w:val="361575D3"/>
    <w:rsid w:val="365B0989"/>
    <w:rsid w:val="36FF649E"/>
    <w:rsid w:val="371F4F7F"/>
    <w:rsid w:val="37614820"/>
    <w:rsid w:val="379D1E63"/>
    <w:rsid w:val="37EE6BCA"/>
    <w:rsid w:val="3800531B"/>
    <w:rsid w:val="38985E43"/>
    <w:rsid w:val="38A73F51"/>
    <w:rsid w:val="38D37613"/>
    <w:rsid w:val="399860D0"/>
    <w:rsid w:val="39DC6E61"/>
    <w:rsid w:val="3A055696"/>
    <w:rsid w:val="3A344D51"/>
    <w:rsid w:val="3A6030ED"/>
    <w:rsid w:val="3B4B3764"/>
    <w:rsid w:val="3BC177AB"/>
    <w:rsid w:val="3C2D2E8F"/>
    <w:rsid w:val="3C8A7F52"/>
    <w:rsid w:val="3CBA2A46"/>
    <w:rsid w:val="3D31115C"/>
    <w:rsid w:val="3D465B6F"/>
    <w:rsid w:val="3D8F570E"/>
    <w:rsid w:val="3DF5365F"/>
    <w:rsid w:val="3E3819CB"/>
    <w:rsid w:val="3EAB20E9"/>
    <w:rsid w:val="3EC71899"/>
    <w:rsid w:val="3ED80945"/>
    <w:rsid w:val="3EF47905"/>
    <w:rsid w:val="3F5B6AA7"/>
    <w:rsid w:val="3FC70276"/>
    <w:rsid w:val="3FC95959"/>
    <w:rsid w:val="3FDD1D5A"/>
    <w:rsid w:val="40244109"/>
    <w:rsid w:val="40365855"/>
    <w:rsid w:val="407C1221"/>
    <w:rsid w:val="40835840"/>
    <w:rsid w:val="40B36613"/>
    <w:rsid w:val="40EF0320"/>
    <w:rsid w:val="40F82219"/>
    <w:rsid w:val="414C4638"/>
    <w:rsid w:val="41505A97"/>
    <w:rsid w:val="41A236B8"/>
    <w:rsid w:val="42AB51E8"/>
    <w:rsid w:val="42DB0806"/>
    <w:rsid w:val="43383798"/>
    <w:rsid w:val="439A05A2"/>
    <w:rsid w:val="44184D69"/>
    <w:rsid w:val="446F5624"/>
    <w:rsid w:val="448E645A"/>
    <w:rsid w:val="44AA421F"/>
    <w:rsid w:val="450560EC"/>
    <w:rsid w:val="455A5197"/>
    <w:rsid w:val="458F3B1A"/>
    <w:rsid w:val="459819D4"/>
    <w:rsid w:val="45D24B39"/>
    <w:rsid w:val="461646BF"/>
    <w:rsid w:val="462F4D7A"/>
    <w:rsid w:val="46825B96"/>
    <w:rsid w:val="468619FA"/>
    <w:rsid w:val="4689195C"/>
    <w:rsid w:val="46DA1906"/>
    <w:rsid w:val="46E877B6"/>
    <w:rsid w:val="47072ADF"/>
    <w:rsid w:val="47507FEA"/>
    <w:rsid w:val="47CD0723"/>
    <w:rsid w:val="48E7151B"/>
    <w:rsid w:val="497A6C03"/>
    <w:rsid w:val="49A012CA"/>
    <w:rsid w:val="4AC153D1"/>
    <w:rsid w:val="4B0572BF"/>
    <w:rsid w:val="4B0D2866"/>
    <w:rsid w:val="4B435352"/>
    <w:rsid w:val="4B4D76D2"/>
    <w:rsid w:val="4B86047F"/>
    <w:rsid w:val="4BC83D3C"/>
    <w:rsid w:val="4BE113DE"/>
    <w:rsid w:val="4BE70C9F"/>
    <w:rsid w:val="4CA61634"/>
    <w:rsid w:val="4CB678D6"/>
    <w:rsid w:val="4CBA4B06"/>
    <w:rsid w:val="4CFD7AF5"/>
    <w:rsid w:val="4D123CF2"/>
    <w:rsid w:val="4D3075B3"/>
    <w:rsid w:val="4D3740CD"/>
    <w:rsid w:val="4D4A32FA"/>
    <w:rsid w:val="4E302E7A"/>
    <w:rsid w:val="4EF8064A"/>
    <w:rsid w:val="4F402876"/>
    <w:rsid w:val="4FB61A39"/>
    <w:rsid w:val="4FDE17AB"/>
    <w:rsid w:val="4FFD4BCF"/>
    <w:rsid w:val="501670D3"/>
    <w:rsid w:val="507B1E29"/>
    <w:rsid w:val="514070CB"/>
    <w:rsid w:val="517240FC"/>
    <w:rsid w:val="518A5153"/>
    <w:rsid w:val="51EA095B"/>
    <w:rsid w:val="52097EA3"/>
    <w:rsid w:val="524A1D0E"/>
    <w:rsid w:val="525521C2"/>
    <w:rsid w:val="52930A26"/>
    <w:rsid w:val="53335E7F"/>
    <w:rsid w:val="536F612B"/>
    <w:rsid w:val="538A3B0C"/>
    <w:rsid w:val="53F6332C"/>
    <w:rsid w:val="54C87412"/>
    <w:rsid w:val="55274F85"/>
    <w:rsid w:val="55D90275"/>
    <w:rsid w:val="560F078A"/>
    <w:rsid w:val="56A01BAA"/>
    <w:rsid w:val="56D3138F"/>
    <w:rsid w:val="56D91215"/>
    <w:rsid w:val="5753196B"/>
    <w:rsid w:val="576B2927"/>
    <w:rsid w:val="576E0053"/>
    <w:rsid w:val="57E06360"/>
    <w:rsid w:val="57F65D95"/>
    <w:rsid w:val="5804448E"/>
    <w:rsid w:val="585C314A"/>
    <w:rsid w:val="585E5944"/>
    <w:rsid w:val="58B51802"/>
    <w:rsid w:val="592F5142"/>
    <w:rsid w:val="59481AC4"/>
    <w:rsid w:val="595D05EE"/>
    <w:rsid w:val="59CF0A9D"/>
    <w:rsid w:val="59FB654D"/>
    <w:rsid w:val="5A207B86"/>
    <w:rsid w:val="5A813DB9"/>
    <w:rsid w:val="5A913FA4"/>
    <w:rsid w:val="5A984EBE"/>
    <w:rsid w:val="5AA621C6"/>
    <w:rsid w:val="5ABD6205"/>
    <w:rsid w:val="5ADF16D3"/>
    <w:rsid w:val="5B897E63"/>
    <w:rsid w:val="5B8F2ED9"/>
    <w:rsid w:val="5C122925"/>
    <w:rsid w:val="5C207B33"/>
    <w:rsid w:val="5C7051B8"/>
    <w:rsid w:val="5CBB3D0E"/>
    <w:rsid w:val="5CC874D2"/>
    <w:rsid w:val="5D215216"/>
    <w:rsid w:val="5D317FA5"/>
    <w:rsid w:val="5D510CFE"/>
    <w:rsid w:val="5D6A19ED"/>
    <w:rsid w:val="5DA110B8"/>
    <w:rsid w:val="5DDB2D07"/>
    <w:rsid w:val="5DE32336"/>
    <w:rsid w:val="5E4151C7"/>
    <w:rsid w:val="5F07419D"/>
    <w:rsid w:val="5F147196"/>
    <w:rsid w:val="5F1E7872"/>
    <w:rsid w:val="5F2C4CA8"/>
    <w:rsid w:val="5F2E751A"/>
    <w:rsid w:val="5F4851C3"/>
    <w:rsid w:val="5F8846D0"/>
    <w:rsid w:val="5FA46DEB"/>
    <w:rsid w:val="5FAF60BE"/>
    <w:rsid w:val="6186628F"/>
    <w:rsid w:val="61B77340"/>
    <w:rsid w:val="61CD68D0"/>
    <w:rsid w:val="61E2279C"/>
    <w:rsid w:val="61EA04EF"/>
    <w:rsid w:val="622C6B72"/>
    <w:rsid w:val="626E180F"/>
    <w:rsid w:val="62831F0E"/>
    <w:rsid w:val="6373184D"/>
    <w:rsid w:val="63A61E7A"/>
    <w:rsid w:val="6416110D"/>
    <w:rsid w:val="642D02D6"/>
    <w:rsid w:val="65020182"/>
    <w:rsid w:val="656F318E"/>
    <w:rsid w:val="65C46B4F"/>
    <w:rsid w:val="65E44649"/>
    <w:rsid w:val="66250B7A"/>
    <w:rsid w:val="662D7DCA"/>
    <w:rsid w:val="663D5411"/>
    <w:rsid w:val="66550C11"/>
    <w:rsid w:val="66AB0A37"/>
    <w:rsid w:val="670E7191"/>
    <w:rsid w:val="674E07D4"/>
    <w:rsid w:val="677302AB"/>
    <w:rsid w:val="67B84CED"/>
    <w:rsid w:val="68184E08"/>
    <w:rsid w:val="685B5B55"/>
    <w:rsid w:val="68A40908"/>
    <w:rsid w:val="68DA0368"/>
    <w:rsid w:val="6902556E"/>
    <w:rsid w:val="69280EC0"/>
    <w:rsid w:val="69D92947"/>
    <w:rsid w:val="69E940B6"/>
    <w:rsid w:val="6A016D0B"/>
    <w:rsid w:val="6A5D3A73"/>
    <w:rsid w:val="6AE7322C"/>
    <w:rsid w:val="6B167892"/>
    <w:rsid w:val="6B400C03"/>
    <w:rsid w:val="6B8E28EF"/>
    <w:rsid w:val="6BE20878"/>
    <w:rsid w:val="6BE20961"/>
    <w:rsid w:val="6BE23F94"/>
    <w:rsid w:val="6C1347D7"/>
    <w:rsid w:val="6C35176E"/>
    <w:rsid w:val="6C485BAC"/>
    <w:rsid w:val="6CF70649"/>
    <w:rsid w:val="6D1D4B3B"/>
    <w:rsid w:val="6D3853F6"/>
    <w:rsid w:val="6DA54C16"/>
    <w:rsid w:val="6F135A71"/>
    <w:rsid w:val="6F3A4A15"/>
    <w:rsid w:val="6FE95093"/>
    <w:rsid w:val="70165014"/>
    <w:rsid w:val="70207B6E"/>
    <w:rsid w:val="70326850"/>
    <w:rsid w:val="70775261"/>
    <w:rsid w:val="70DA2C14"/>
    <w:rsid w:val="70FF5871"/>
    <w:rsid w:val="7113031F"/>
    <w:rsid w:val="713C1FAA"/>
    <w:rsid w:val="71677BC0"/>
    <w:rsid w:val="71C706DF"/>
    <w:rsid w:val="71D376AB"/>
    <w:rsid w:val="72437975"/>
    <w:rsid w:val="726F590E"/>
    <w:rsid w:val="72CC1E83"/>
    <w:rsid w:val="7303749F"/>
    <w:rsid w:val="73224CA8"/>
    <w:rsid w:val="73924A98"/>
    <w:rsid w:val="73973924"/>
    <w:rsid w:val="7399198E"/>
    <w:rsid w:val="73A52CCB"/>
    <w:rsid w:val="73B23371"/>
    <w:rsid w:val="73B813CB"/>
    <w:rsid w:val="73D02A4A"/>
    <w:rsid w:val="73D677DD"/>
    <w:rsid w:val="73D70B56"/>
    <w:rsid w:val="73E97B4F"/>
    <w:rsid w:val="741B5617"/>
    <w:rsid w:val="743D707D"/>
    <w:rsid w:val="74AA048A"/>
    <w:rsid w:val="74AE4F60"/>
    <w:rsid w:val="74CF346D"/>
    <w:rsid w:val="7549232D"/>
    <w:rsid w:val="75665184"/>
    <w:rsid w:val="756B3685"/>
    <w:rsid w:val="75A02C3D"/>
    <w:rsid w:val="75BC62EF"/>
    <w:rsid w:val="75C31BDD"/>
    <w:rsid w:val="75EC3788"/>
    <w:rsid w:val="76042E95"/>
    <w:rsid w:val="76112054"/>
    <w:rsid w:val="76A80077"/>
    <w:rsid w:val="76CB4D43"/>
    <w:rsid w:val="77211CB2"/>
    <w:rsid w:val="776740B3"/>
    <w:rsid w:val="778F480C"/>
    <w:rsid w:val="77D4405B"/>
    <w:rsid w:val="77DD37A2"/>
    <w:rsid w:val="78970D25"/>
    <w:rsid w:val="78E5641A"/>
    <w:rsid w:val="78EB4316"/>
    <w:rsid w:val="78F40384"/>
    <w:rsid w:val="78F700D0"/>
    <w:rsid w:val="79463AC7"/>
    <w:rsid w:val="7A0636BB"/>
    <w:rsid w:val="7A225B16"/>
    <w:rsid w:val="7A3957D1"/>
    <w:rsid w:val="7A651C7D"/>
    <w:rsid w:val="7B861030"/>
    <w:rsid w:val="7B92225E"/>
    <w:rsid w:val="7C426301"/>
    <w:rsid w:val="7C4C347A"/>
    <w:rsid w:val="7C553324"/>
    <w:rsid w:val="7D4F3C8E"/>
    <w:rsid w:val="7D586A7B"/>
    <w:rsid w:val="7E370610"/>
    <w:rsid w:val="7E5A7DA1"/>
    <w:rsid w:val="7E6174E6"/>
    <w:rsid w:val="7E706F04"/>
    <w:rsid w:val="7EE477B9"/>
    <w:rsid w:val="7FC2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3818</Words>
  <Characters>4340</Characters>
  <Lines>0</Lines>
  <Paragraphs>0</Paragraphs>
  <TotalTime>1</TotalTime>
  <ScaleCrop>false</ScaleCrop>
  <LinksUpToDate>false</LinksUpToDate>
  <CharactersWithSpaces>4340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2022-10-09T03:17:00Z</dcterms:created>
  <dc:creator>Administrator</dc:creator>
  <cp:lastModifiedBy>Administrator</cp:lastModifiedBy>
  <cp:lastPrinted>2022-11-07T05:14:00Z</cp:lastPrinted>
  <dcterms:modified xsi:type="dcterms:W3CDTF">2023-12-14T08:05:42Z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691A31C3F55741D99067FD12748C64F0</vt:lpwstr>
  </property>
</Properties>
</file>