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ascii="黑体" w:hAnsi="黑体" w:eastAsia="黑体" w:cs="方正小标宋简体"/>
          <w:sz w:val="36"/>
          <w:szCs w:val="36"/>
        </w:rPr>
        <w:t>2024中国机电产品（新加坡）品牌展览会</w:t>
      </w:r>
    </w:p>
    <w:p>
      <w:pPr>
        <w:jc w:val="left"/>
        <w:rPr>
          <w:rFonts w:hint="eastAsia" w:ascii="黑体" w:hAnsi="黑体" w:eastAsia="黑体" w:cs="方正小标宋简体"/>
          <w:sz w:val="36"/>
          <w:szCs w:val="36"/>
          <w:lang w:eastAsia="zh-CN"/>
        </w:rPr>
      </w:pPr>
    </w:p>
    <w:p>
      <w:pPr>
        <w:pStyle w:val="3"/>
        <w:spacing w:after="0" w:line="20" w:lineRule="atLeas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为搭建中新两国地方政府间务实交流与合作的平台，为我国机电企业提供开拓新加坡、东盟乃至RCEP市场的机会</w:t>
      </w:r>
      <w:r>
        <w:rPr>
          <w:rFonts w:hint="eastAsia" w:ascii="仿宋" w:hAnsi="仿宋" w:eastAsia="仿宋" w:cs="Times New Roman"/>
          <w:sz w:val="32"/>
          <w:szCs w:val="32"/>
        </w:rPr>
        <w:t>,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中国机电产品进出口商会</w:t>
      </w:r>
      <w:r>
        <w:rPr>
          <w:rFonts w:hint="eastAsia" w:ascii="仿宋" w:hAnsi="仿宋" w:eastAsia="仿宋" w:cs="Times New Roman"/>
          <w:sz w:val="32"/>
          <w:szCs w:val="32"/>
        </w:rPr>
        <w:t>将于2024年3月19日至3月21日在新加坡国际会展中心举办</w:t>
      </w:r>
      <w:r>
        <w:rPr>
          <w:rFonts w:ascii="仿宋_GB2312" w:eastAsia="仿宋_GB2312"/>
          <w:sz w:val="32"/>
          <w:szCs w:val="32"/>
        </w:rPr>
        <w:t>2024国际产业合作大会（新加坡）</w:t>
      </w:r>
      <w:r>
        <w:rPr>
          <w:rFonts w:hint="eastAsia" w:ascii="仿宋_GB2312" w:eastAsia="仿宋_GB2312"/>
          <w:sz w:val="32"/>
          <w:szCs w:val="32"/>
        </w:rPr>
        <w:t>暨中国机电产品品牌展览会</w:t>
      </w:r>
      <w:r>
        <w:rPr>
          <w:rFonts w:hint="eastAsia" w:ascii="仿宋" w:hAnsi="仿宋" w:eastAsia="仿宋" w:cs="Times New Roman"/>
          <w:sz w:val="32"/>
          <w:szCs w:val="32"/>
        </w:rPr>
        <w:t>（以下简称“大会”、“展会”）。为增强展会实效性，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中国机电产品进出口商会</w:t>
      </w:r>
      <w:r>
        <w:rPr>
          <w:rFonts w:hint="eastAsia" w:ascii="仿宋" w:hAnsi="仿宋" w:eastAsia="仿宋" w:cs="Times New Roman"/>
          <w:sz w:val="32"/>
          <w:szCs w:val="32"/>
        </w:rPr>
        <w:t>将与新加坡星域展览集团进行战略合作，展会也将与亚太（新加坡）建筑技术及建材展览会（</w:t>
      </w:r>
      <w:r>
        <w:rPr>
          <w:rFonts w:ascii="Times New Roman" w:hAnsi="Times New Roman" w:eastAsia="仿宋" w:cs="Times New Roman"/>
          <w:sz w:val="32"/>
          <w:szCs w:val="32"/>
        </w:rPr>
        <w:t>BuildTech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Asia</w:t>
      </w:r>
      <w:r>
        <w:rPr>
          <w:rFonts w:hint="eastAsia" w:ascii="仿宋" w:hAnsi="仿宋" w:eastAsia="仿宋" w:cs="Times New Roman"/>
          <w:sz w:val="32"/>
          <w:szCs w:val="32"/>
        </w:rPr>
        <w:t>）、亚太国际地面及铺装技术展览会（</w:t>
      </w:r>
      <w:r>
        <w:rPr>
          <w:rFonts w:hint="eastAsia" w:ascii="Times New Roman" w:hAnsi="Times New Roman" w:eastAsia="仿宋" w:cs="Times New Roman"/>
          <w:sz w:val="32"/>
          <w:szCs w:val="32"/>
        </w:rPr>
        <w:t>Asiafloor and AsiaTex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中国商品（新加坡）展览会及中国新能源汽车产业（新加坡）展览会</w:t>
      </w:r>
      <w:r>
        <w:rPr>
          <w:rFonts w:hint="eastAsia" w:ascii="仿宋" w:hAnsi="仿宋" w:eastAsia="仿宋" w:cs="Times New Roman"/>
          <w:sz w:val="32"/>
          <w:szCs w:val="32"/>
        </w:rPr>
        <w:t>同期同地举办，预计吸引专业观众及采购商2万人左右。</w:t>
      </w:r>
    </w:p>
    <w:p>
      <w:pPr>
        <w:pStyle w:val="3"/>
        <w:spacing w:after="0" w:line="20" w:lineRule="atLeas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在首届大会成功举办基础上，本届大会更加强调“深度、广泛、务实”的活动成效，更加注重大会的平台效应。大会拟设开幕式、高峰论坛，主宾省及重点省市招商活动，分场专题交流活动等为期2天的会议内容及品牌发布会等配套活动。以期通过大会推动中国与新加坡及东盟区域合作高质量发展。</w:t>
      </w:r>
    </w:p>
    <w:p>
      <w:pPr>
        <w:pStyle w:val="3"/>
        <w:spacing w:after="0" w:line="20" w:lineRule="atLeas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展会</w:t>
      </w:r>
      <w:r>
        <w:rPr>
          <w:rFonts w:hint="eastAsia" w:ascii="仿宋" w:hAnsi="仿宋" w:eastAsia="仿宋" w:cs="Times New Roman"/>
          <w:sz w:val="32"/>
          <w:szCs w:val="32"/>
        </w:rPr>
        <w:t>具体信息如下：</w:t>
      </w:r>
    </w:p>
    <w:p>
      <w:pPr>
        <w:pStyle w:val="3"/>
        <w:spacing w:after="0" w:line="20" w:lineRule="atLeast"/>
        <w:ind w:firstLine="640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一、</w:t>
      </w:r>
      <w:r>
        <w:rPr>
          <w:rFonts w:hint="eastAsia" w:ascii="仿宋" w:hAnsi="仿宋" w:eastAsia="仿宋"/>
          <w:b/>
          <w:bCs/>
          <w:sz w:val="32"/>
          <w:szCs w:val="32"/>
        </w:rPr>
        <w:t>展会时间：</w:t>
      </w:r>
      <w:r>
        <w:rPr>
          <w:rFonts w:hint="eastAsia" w:ascii="仿宋" w:hAnsi="仿宋" w:eastAsia="仿宋"/>
          <w:sz w:val="32"/>
          <w:szCs w:val="32"/>
        </w:rPr>
        <w:t>2024年3月19-21日</w:t>
      </w:r>
    </w:p>
    <w:p>
      <w:pPr>
        <w:pStyle w:val="3"/>
        <w:spacing w:after="0" w:line="20" w:lineRule="atLeas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二、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展会地点</w:t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新加坡国际会展中心</w:t>
      </w:r>
    </w:p>
    <w:p>
      <w:pPr>
        <w:spacing w:line="20" w:lineRule="atLeast"/>
        <w:ind w:firstLine="643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三、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主办单位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</w:rPr>
        <w:t>中国机电产品进出口商会</w:t>
      </w:r>
    </w:p>
    <w:p>
      <w:pPr>
        <w:pStyle w:val="3"/>
        <w:spacing w:after="0" w:line="20" w:lineRule="atLeas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四、展会规模：</w:t>
      </w:r>
      <w:r>
        <w:rPr>
          <w:rFonts w:hint="eastAsia" w:ascii="仿宋" w:hAnsi="仿宋" w:eastAsia="仿宋" w:cs="Times New Roman"/>
          <w:sz w:val="32"/>
          <w:szCs w:val="32"/>
        </w:rPr>
        <w:t>10000平米</w:t>
      </w:r>
    </w:p>
    <w:p>
      <w:pPr>
        <w:pStyle w:val="3"/>
        <w:spacing w:after="0" w:line="20" w:lineRule="atLeast"/>
        <w:ind w:firstLine="643" w:firstLineChars="20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五、市场背景</w:t>
      </w:r>
    </w:p>
    <w:p>
      <w:pPr>
        <w:spacing w:line="2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东盟人口众多，经济增长迅速，已成长为我国第一大贸易伙伴。新加坡作为世界第三大金融中心，是世界各国企业进入东盟市场的门户，截至2022年，新加坡连续9年成为中国第一大新增投资来源国，是中国推动“一带一路” 建设的重要支点。同时，新加坡也是世界五大展会中心之一， 每年举办展览和会议近4000场，对周边国家和地区有较强 的辐射作用。 </w:t>
      </w:r>
    </w:p>
    <w:p>
      <w:pPr>
        <w:spacing w:line="20" w:lineRule="atLeast"/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</w:rPr>
        <w:t>2022年全年中新两国双边贸易总额上涨至</w:t>
      </w:r>
      <w:r>
        <w:rPr>
          <w:rFonts w:ascii="仿宋" w:hAnsi="仿宋" w:eastAsia="仿宋"/>
          <w:sz w:val="32"/>
          <w:szCs w:val="36"/>
        </w:rPr>
        <w:t>1,</w:t>
      </w:r>
      <w:r>
        <w:rPr>
          <w:rFonts w:hint="eastAsia" w:ascii="仿宋" w:hAnsi="仿宋" w:eastAsia="仿宋"/>
          <w:sz w:val="32"/>
          <w:szCs w:val="36"/>
        </w:rPr>
        <w:t>151</w:t>
      </w:r>
      <w:r>
        <w:rPr>
          <w:rFonts w:ascii="仿宋" w:hAnsi="仿宋" w:eastAsia="仿宋"/>
          <w:sz w:val="32"/>
          <w:szCs w:val="36"/>
        </w:rPr>
        <w:t>.</w:t>
      </w:r>
      <w:r>
        <w:rPr>
          <w:rFonts w:hint="eastAsia" w:ascii="仿宋" w:hAnsi="仿宋" w:eastAsia="仿宋"/>
          <w:sz w:val="32"/>
          <w:szCs w:val="36"/>
        </w:rPr>
        <w:t>26亿美元，增速超过22.82%，其中我国对新出口商品金额为811.67亿美元，增速达到47.74%。2023年前五月，中新双边贸易额已达474.95亿美元，同比增长25.30%，其中我国对新出口增长51.17%，达349.25亿美元。机电产品出口额194.64亿美元，同比增长47.63%。</w:t>
      </w:r>
    </w:p>
    <w:p>
      <w:pPr>
        <w:pStyle w:val="3"/>
        <w:spacing w:after="0" w:line="20" w:lineRule="atLeast"/>
        <w:ind w:firstLine="643" w:firstLineChars="20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六、往届展会回顾</w:t>
      </w:r>
    </w:p>
    <w:p>
      <w:pPr>
        <w:spacing w:line="20" w:lineRule="atLeast"/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32"/>
        </w:rPr>
        <w:t>2023年中国机电产品（新加坡）品牌展览会展会规模达8000余平方米，参展企业共130余家，专业观众及采购商约5000人。参展企业包括</w:t>
      </w:r>
      <w:r>
        <w:rPr>
          <w:rFonts w:hint="eastAsia" w:ascii="仿宋" w:hAnsi="仿宋" w:eastAsia="仿宋" w:cs="仿宋"/>
          <w:sz w:val="32"/>
          <w:szCs w:val="40"/>
        </w:rPr>
        <w:t>海尔集团、中建、中铁建、中能建、中交集团、中电建等头部企业，山东、江苏、福建、贵州、重庆、珠海、宁波等省市组团参展，累计达成意向合作金额共计3400余万美元。</w:t>
      </w:r>
    </w:p>
    <w:p>
      <w:pPr>
        <w:spacing w:line="20" w:lineRule="atLeast"/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40"/>
        </w:rPr>
        <w:t>同期举办中新国际产业合作大会、中国重点省市投资环境及重点项目推介会等配套活动，为中新两国企业及地方政府间的合作交流创造了机会。</w:t>
      </w:r>
    </w:p>
    <w:p>
      <w:pPr>
        <w:pStyle w:val="3"/>
        <w:spacing w:after="0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七、展品范围</w:t>
      </w:r>
    </w:p>
    <w:p>
      <w:pPr>
        <w:pStyle w:val="3"/>
        <w:spacing w:after="0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家用电器及消费电子产品：</w:t>
      </w:r>
      <w:r>
        <w:rPr>
          <w:rFonts w:hint="eastAsia" w:ascii="仿宋" w:hAnsi="仿宋" w:eastAsia="仿宋"/>
          <w:sz w:val="32"/>
          <w:szCs w:val="32"/>
        </w:rPr>
        <w:t>各类家电产品、各类电子消费品</w:t>
      </w:r>
    </w:p>
    <w:p>
      <w:pPr>
        <w:pStyle w:val="3"/>
        <w:spacing w:after="0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电力能源：</w:t>
      </w:r>
      <w:r>
        <w:rPr>
          <w:rFonts w:hint="eastAsia" w:ascii="仿宋" w:hAnsi="仿宋" w:eastAsia="仿宋" w:cs="仿宋"/>
          <w:sz w:val="32"/>
          <w:szCs w:val="32"/>
        </w:rPr>
        <w:t xml:space="preserve">光伏、氢能等新能源技术与设备，输配电及控制设备，电力智能化技术与应用等。 </w:t>
      </w:r>
    </w:p>
    <w:p>
      <w:pPr>
        <w:pStyle w:val="3"/>
        <w:spacing w:after="0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建筑机械：</w:t>
      </w:r>
      <w:r>
        <w:rPr>
          <w:rFonts w:hint="eastAsia" w:ascii="仿宋" w:hAnsi="仿宋" w:eastAsia="仿宋" w:cs="仿宋"/>
          <w:sz w:val="32"/>
          <w:szCs w:val="32"/>
        </w:rPr>
        <w:t>挖掘机械、装载机械、起重和运输设备等工程机械。</w:t>
      </w:r>
    </w:p>
    <w:p>
      <w:pPr>
        <w:pStyle w:val="3"/>
        <w:spacing w:after="0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建材卫浴：</w:t>
      </w:r>
      <w:r>
        <w:rPr>
          <w:rFonts w:hint="eastAsia" w:ascii="仿宋" w:hAnsi="仿宋" w:eastAsia="仿宋" w:cs="仿宋"/>
          <w:sz w:val="32"/>
          <w:szCs w:val="32"/>
        </w:rPr>
        <w:t>建筑材料、卫浴产品等。</w:t>
      </w:r>
    </w:p>
    <w:p>
      <w:pPr>
        <w:pStyle w:val="3"/>
        <w:spacing w:after="0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新能源汽车及零部件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八、收费标准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（供参考）</w:t>
      </w:r>
      <w:bookmarkStart w:id="0" w:name="_GoBack"/>
      <w:bookmarkEnd w:id="0"/>
    </w:p>
    <w:tbl>
      <w:tblPr>
        <w:tblStyle w:val="7"/>
        <w:tblW w:w="83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6"/>
        <w:gridCol w:w="1710"/>
        <w:gridCol w:w="1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费用项目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金额: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人民币(元)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一、展位费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1.标准展位（双开口展位加收1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元）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2.光地（不含搭建，最少36㎡起）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每9平米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每平米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二、运输费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1.展品集货、海陆运、商检、报关、运至展台（不足0.5立方米按1立方米计算，1立方米以上按实际体积相承计算；如展品重量超过，将根据重量计算）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2.关税、保险（另收）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3.展品回运费、结关费用（不回运免交）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每立方米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每立方米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据实结算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三、人员费用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展期随团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电子签证费、国际往返机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票、交通、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境外保险等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pStyle w:val="3"/>
              <w:jc w:val="left"/>
              <w:rPr>
                <w:lang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每人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四、签证费（自办免交）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每人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五、保险费（自办免交）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每人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六、展览注册费（国内外通讯联络、资料、进馆证等，会刊登录、网站展商名单列入）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2500</w:t>
            </w:r>
          </w:p>
        </w:tc>
      </w:tr>
    </w:tbl>
    <w:p>
      <w:pPr>
        <w:pStyle w:val="3"/>
        <w:spacing w:after="0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after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pStyle w:val="3"/>
        <w:spacing w:after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spacing w:after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spacing w:after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pStyle w:val="3"/>
        <w:spacing w:after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p>
      <w:pPr>
        <w:pStyle w:val="3"/>
        <w:spacing w:after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after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after="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689" w:bottom="1151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1YTVkY2E4NDdlMGQ4M2FkOTc5OWYzZTNkOWU2OTQifQ=="/>
  </w:docVars>
  <w:rsids>
    <w:rsidRoot w:val="00915BBC"/>
    <w:rsid w:val="000514C7"/>
    <w:rsid w:val="00166D39"/>
    <w:rsid w:val="001950E8"/>
    <w:rsid w:val="00246E5F"/>
    <w:rsid w:val="003917D7"/>
    <w:rsid w:val="003D1C04"/>
    <w:rsid w:val="003F15BB"/>
    <w:rsid w:val="00427F43"/>
    <w:rsid w:val="00491087"/>
    <w:rsid w:val="00492E3F"/>
    <w:rsid w:val="004C78D1"/>
    <w:rsid w:val="00533745"/>
    <w:rsid w:val="005524E9"/>
    <w:rsid w:val="00594236"/>
    <w:rsid w:val="005E2ED9"/>
    <w:rsid w:val="006401E0"/>
    <w:rsid w:val="006C7355"/>
    <w:rsid w:val="006D5733"/>
    <w:rsid w:val="00730B7D"/>
    <w:rsid w:val="007A0B00"/>
    <w:rsid w:val="007C494A"/>
    <w:rsid w:val="00877680"/>
    <w:rsid w:val="00893BEB"/>
    <w:rsid w:val="008A208E"/>
    <w:rsid w:val="00915BBC"/>
    <w:rsid w:val="00934FB6"/>
    <w:rsid w:val="009465D3"/>
    <w:rsid w:val="00972BB6"/>
    <w:rsid w:val="00986EDA"/>
    <w:rsid w:val="009C4ACA"/>
    <w:rsid w:val="00A11332"/>
    <w:rsid w:val="00BA5401"/>
    <w:rsid w:val="00BB74C2"/>
    <w:rsid w:val="00C00A1A"/>
    <w:rsid w:val="00D1423F"/>
    <w:rsid w:val="00E016E6"/>
    <w:rsid w:val="00E07C75"/>
    <w:rsid w:val="00E348D9"/>
    <w:rsid w:val="00E37706"/>
    <w:rsid w:val="00F60393"/>
    <w:rsid w:val="00F75253"/>
    <w:rsid w:val="00F827EE"/>
    <w:rsid w:val="00FC057C"/>
    <w:rsid w:val="02140777"/>
    <w:rsid w:val="03A10060"/>
    <w:rsid w:val="06F61829"/>
    <w:rsid w:val="0A961FD4"/>
    <w:rsid w:val="0B310603"/>
    <w:rsid w:val="0F67392A"/>
    <w:rsid w:val="11135B4D"/>
    <w:rsid w:val="12E70975"/>
    <w:rsid w:val="1B3B5710"/>
    <w:rsid w:val="201C0C23"/>
    <w:rsid w:val="24E764F9"/>
    <w:rsid w:val="262004D2"/>
    <w:rsid w:val="27ED7391"/>
    <w:rsid w:val="298F2E5F"/>
    <w:rsid w:val="2D917B06"/>
    <w:rsid w:val="30F97202"/>
    <w:rsid w:val="365A495C"/>
    <w:rsid w:val="37EF5CFF"/>
    <w:rsid w:val="420A14F7"/>
    <w:rsid w:val="46DD5CCF"/>
    <w:rsid w:val="4DDF1B13"/>
    <w:rsid w:val="4F277882"/>
    <w:rsid w:val="51F166EC"/>
    <w:rsid w:val="55884E8E"/>
    <w:rsid w:val="56606FDF"/>
    <w:rsid w:val="568E5E92"/>
    <w:rsid w:val="574C4E0B"/>
    <w:rsid w:val="5BB8232C"/>
    <w:rsid w:val="5F454F02"/>
    <w:rsid w:val="6CD1139E"/>
    <w:rsid w:val="6D7C05ED"/>
    <w:rsid w:val="7183382B"/>
    <w:rsid w:val="73B548AD"/>
    <w:rsid w:val="78D209B5"/>
    <w:rsid w:val="7E2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360" w:lineRule="auto"/>
      <w:jc w:val="center"/>
      <w:outlineLvl w:val="0"/>
    </w:pPr>
    <w:rPr>
      <w:rFonts w:hint="eastAsia" w:ascii="宋体" w:hAnsi="宋体" w:eastAsia="宋体" w:cs="Times New Roman"/>
      <w:kern w:val="44"/>
      <w:sz w:val="36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NormalCharacter"/>
    <w:qFormat/>
    <w:uiPriority w:val="0"/>
  </w:style>
  <w:style w:type="character" w:customStyle="1" w:styleId="11">
    <w:name w:val="日期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499</Words>
  <Characters>2848</Characters>
  <Lines>23</Lines>
  <Paragraphs>6</Paragraphs>
  <TotalTime>4</TotalTime>
  <ScaleCrop>false</ScaleCrop>
  <LinksUpToDate>false</LinksUpToDate>
  <CharactersWithSpaces>3341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2023-11-13T03:42:00Z</dcterms:created>
  <dc:creator>zhuxiaomin</dc:creator>
  <cp:lastModifiedBy>刘婉莹</cp:lastModifiedBy>
  <cp:lastPrinted>2023-11-13T03:45:00Z</cp:lastPrinted>
  <dcterms:modified xsi:type="dcterms:W3CDTF">2023-12-08T02:51:17Z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38B151CF2F8647DD81B4340EFBAA761E_13</vt:lpwstr>
  </property>
</Properties>
</file>