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关于变更粤（2023）中山市不动产权第0451120号用地规划条件公示的通告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3975735" cy="2305685"/>
            <wp:effectExtent l="0" t="0" r="5715" b="18415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刘伙金用地图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该宗地位于中山市南朗街道白企村合里大塘38号，不动产权证号为粤（2023）中山市不动产权第0451120号，证载土地用途为农村宅基地，用地面积为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202.29</w:t>
      </w:r>
      <w:r>
        <w:rPr>
          <w:rFonts w:hint="eastAsia" w:ascii="仿宋" w:hAnsi="仿宋" w:eastAsia="仿宋" w:cs="仿宋"/>
          <w:sz w:val="30"/>
          <w:szCs w:val="30"/>
        </w:rPr>
        <w:t>平方米，土地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刘伙金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该用地位于《中山市南朗镇白企村片区(白企村、南朗村、泮沙村)村庄规划(2017)》，为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3009B"/>
    <w:rsid w:val="02CA0714"/>
    <w:rsid w:val="187D6DE0"/>
    <w:rsid w:val="2C8E0608"/>
    <w:rsid w:val="3413009B"/>
    <w:rsid w:val="3CFC0AC0"/>
    <w:rsid w:val="583F143F"/>
    <w:rsid w:val="6A1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曹宇晟</dc:creator>
  <cp:lastModifiedBy>徐斐</cp:lastModifiedBy>
  <dcterms:modified xsi:type="dcterms:W3CDTF">2023-12-06T15:57:26Z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