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简标宋" w:hAnsi="微软简标宋" w:eastAsia="微软简标宋" w:cs="微软简标宋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eastAsia="zh-CN"/>
        </w:rPr>
        <w:t>风景海岸花园（二期）</w:t>
      </w:r>
      <w:r>
        <w:rPr>
          <w:rFonts w:hint="eastAsia" w:ascii="微软简标宋" w:hAnsi="微软简标宋" w:eastAsia="微软简标宋" w:cs="微软简标宋"/>
          <w:sz w:val="44"/>
          <w:szCs w:val="44"/>
        </w:rPr>
        <w:t>规划设计方案的公示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奥康光通器件（中山）有限公司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向我局申请变更风景海岸花园（二期）（地址:中山市神湾镇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神湾港工业园</w:t>
      </w:r>
      <w:r>
        <w:rPr>
          <w:rFonts w:hint="eastAsia" w:ascii="仿宋_GB2312" w:hAnsi="仿宋_GB2312" w:eastAsia="仿宋_GB2312" w:cs="仿宋_GB2312"/>
          <w:sz w:val="32"/>
          <w:szCs w:val="32"/>
        </w:rPr>
        <w:t>）规划设计方案。现根据相关法律、法规予以公示。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该项目的规划公示牌设在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售楼部门口、人行主入口、车库主入口处位置，公示期为本公示刊登之日起20个工作日。公示期内，该项目的相关利害关系人可以携带身份证、房地产权属证书等资料到中山市自然资源局第四分局查询相关情况，提交陈述、申辩意见书或者听证申请书。逾期未进行陈述、申辩或听证申请的，视为放弃上述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联系电话：86638541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中山市自然资源局第四分局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42E89"/>
    <w:rsid w:val="7DAC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2023-11-15T08:04:34Z</dcterms:created>
  <dc:creator>admin</dc:creator>
  <cp:lastModifiedBy>吴雷</cp:lastModifiedBy>
  <dcterms:modified xsi:type="dcterms:W3CDTF">2023-11-15T08:10:12Z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0DFDDAE6ED6B4397A3111F0BA52E8930</vt:lpwstr>
  </property>
</Properties>
</file>