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="仿宋_GB2312"/>
          <w:b/>
          <w:bCs/>
          <w:sz w:val="30"/>
          <w:szCs w:val="30"/>
        </w:rPr>
      </w:pPr>
      <w:r>
        <w:rPr>
          <w:rFonts w:eastAsia="仿宋_GB2312"/>
          <w:b/>
          <w:bCs/>
          <w:sz w:val="30"/>
          <w:szCs w:val="30"/>
        </w:rPr>
        <w:t>中山火炬高技术产业开发区土地征收成片开发方案</w:t>
      </w:r>
    </w:p>
    <w:p>
      <w:pPr>
        <w:spacing w:line="360" w:lineRule="auto"/>
        <w:jc w:val="center"/>
        <w:rPr>
          <w:rFonts w:eastAsia="仿宋_GB2312"/>
          <w:b/>
          <w:bCs/>
          <w:sz w:val="28"/>
          <w:szCs w:val="28"/>
        </w:rPr>
      </w:pPr>
      <w:r>
        <w:rPr>
          <w:rFonts w:eastAsia="仿宋_GB2312"/>
          <w:b/>
          <w:bCs/>
          <w:sz w:val="28"/>
          <w:szCs w:val="28"/>
        </w:rPr>
        <w:t>（公示草案）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一、编制依据</w:t>
      </w:r>
    </w:p>
    <w:p>
      <w:pPr>
        <w:autoSpaceDE w:val="0"/>
        <w:autoSpaceDN w:val="0"/>
        <w:adjustRightInd w:val="0"/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依据《中华人民共和国土地管理法》（2019年修正）、《自然资源部关于印发&lt;土地征收成片开发标准（试行）&gt;的通知》（自然资规〔2020〕5号）等相关文件，编制《中山火炬高技术产业开发区土地征收成片开发方案》。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二、基本情况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本次成片开发范围共包含10个成片开发地块，面积共644.0748公顷，分别位于联富社区、张家边社区、城东社区、海滨社区、六和社区及中山港社区。详细信息见下表。</w:t>
      </w:r>
    </w:p>
    <w:p>
      <w:pPr>
        <w:ind w:firstLine="482" w:firstLineChars="200"/>
        <w:jc w:val="center"/>
        <w:rPr>
          <w:rFonts w:eastAsia="仿宋_GB2312"/>
          <w:b/>
          <w:bCs/>
          <w:sz w:val="24"/>
        </w:rPr>
      </w:pPr>
      <w:r>
        <w:rPr>
          <w:rFonts w:eastAsia="仿宋_GB2312"/>
          <w:b/>
          <w:bCs/>
          <w:sz w:val="24"/>
        </w:rPr>
        <w:t>表1  成片开发区域详细信息一览表</w:t>
      </w:r>
    </w:p>
    <w:tbl>
      <w:tblPr>
        <w:tblStyle w:val="11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659"/>
        <w:gridCol w:w="1318"/>
        <w:gridCol w:w="1218"/>
        <w:gridCol w:w="3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成片开发区域编号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成片开发区域名称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区域位置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面积（公顷）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现状土地利用情况及基础设施条件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PK01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岐江新城核心区配套项目地块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联富社区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102.2542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现状用地情况：现状农用地62.0172公顷、建设用地36.5857公顷、未利用地</w:t>
            </w:r>
            <w:r>
              <w:rPr>
                <w:rFonts w:eastAsia="仿宋_GB2312"/>
                <w:color w:val="000000"/>
                <w:szCs w:val="21"/>
              </w:rPr>
              <w:t>3.6512公顷。靠近广澳高速、科技西路、濠江西路。地块目前开发程度较低，针对本片块的开发需加强基础设施和公共服务配套设施的建设。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PK02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风电智慧能源项目沙边地块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联富社区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31.0552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9.0177</w:t>
            </w:r>
            <w:r>
              <w:rPr>
                <w:rFonts w:eastAsia="仿宋_GB2312"/>
              </w:rPr>
              <w:t>公顷、建设用地</w:t>
            </w:r>
            <w:r>
              <w:t>16.0371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6.0005</w:t>
            </w:r>
            <w:r>
              <w:rPr>
                <w:rFonts w:eastAsia="仿宋_GB2312"/>
                <w:color w:val="000000"/>
                <w:szCs w:val="21"/>
              </w:rPr>
              <w:t>公顷。北靠火炬路，东靠置业路，北面为明阳智慧能源、日超工程塑料、伟福科技等重大工业项目，周边建设用地开发建设相对成熟。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PK03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电子信息产业园片区张五地块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联富社区、张家边社区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36.4021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18.9693</w:t>
            </w:r>
            <w:r>
              <w:rPr>
                <w:rFonts w:eastAsia="仿宋_GB2312"/>
              </w:rPr>
              <w:t>公顷、建设用地</w:t>
            </w:r>
            <w:r>
              <w:t>15.7972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1.6357</w:t>
            </w:r>
            <w:r>
              <w:rPr>
                <w:rFonts w:eastAsia="仿宋_GB2312"/>
                <w:color w:val="000000"/>
                <w:szCs w:val="21"/>
              </w:rPr>
              <w:t>公顷。北靠火炬路，东靠置业路，北面为明阳智慧能源、日超工程塑料、伟福科技等重大工业项目，项目周边建设趋于完善。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PK04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火炬开发区中心片区商业地块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城东社区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2.0178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0.5887</w:t>
            </w:r>
            <w:r>
              <w:rPr>
                <w:rFonts w:eastAsia="仿宋_GB2312"/>
              </w:rPr>
              <w:t>公顷、建设用地</w:t>
            </w:r>
            <w:r>
              <w:t>0.2575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1.1716</w:t>
            </w:r>
            <w:r>
              <w:rPr>
                <w:rFonts w:eastAsia="仿宋_GB2312"/>
                <w:color w:val="000000"/>
                <w:szCs w:val="21"/>
              </w:rPr>
              <w:t>公顷。北靠世纪一路和欧亚路，北面为华志工业园，项目周边建设较为完善。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PK05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湾西智谷东利地块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海滨社区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3.4274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2.2062</w:t>
            </w:r>
            <w:r>
              <w:rPr>
                <w:rFonts w:eastAsia="仿宋_GB2312"/>
              </w:rPr>
              <w:t>公顷、建设用地</w:t>
            </w:r>
            <w:r>
              <w:t>1.1605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0.0607</w:t>
            </w:r>
            <w:r>
              <w:rPr>
                <w:rFonts w:eastAsia="仿宋_GB2312"/>
                <w:color w:val="000000"/>
                <w:szCs w:val="21"/>
              </w:rPr>
              <w:t>公顷。靠近沿江东三路，西面为台耀科技等重大工业项目，项目周边建设趋于完善。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PK06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湾西智谷核心区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海滨社区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208.5010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40.0326</w:t>
            </w:r>
            <w:r>
              <w:rPr>
                <w:rFonts w:eastAsia="仿宋_GB2312"/>
              </w:rPr>
              <w:t>公顷、建设用地</w:t>
            </w:r>
            <w:r>
              <w:t>73.4694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94.999</w:t>
            </w:r>
            <w:r>
              <w:rPr>
                <w:rFonts w:eastAsia="仿宋_GB2312"/>
                <w:color w:val="000000"/>
                <w:szCs w:val="21"/>
              </w:rPr>
              <w:t>0公顷。目前开发程度较低，民园路、环茂三路从片块穿过。片块现有天马精密工业、恒辰光电、高木汽车配件等制造业企业。针对本片块的开发需加强基础设施和公共服务配套设施的建设。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PK07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湾西智谷茂生地块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海滨社区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32.0127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6.4916</w:t>
            </w:r>
            <w:r>
              <w:rPr>
                <w:rFonts w:eastAsia="仿宋_GB2312"/>
              </w:rPr>
              <w:t>公顷、建设用地</w:t>
            </w:r>
            <w:r>
              <w:t>24.6527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0.8683</w:t>
            </w:r>
            <w:r>
              <w:rPr>
                <w:rFonts w:eastAsia="仿宋_GB2312"/>
                <w:color w:val="000000"/>
                <w:szCs w:val="21"/>
              </w:rPr>
              <w:t>公顷。交通设施配套完善，沿江东路从片块穿过。片块有茂生社区卫生站、茂生幼儿园等公共服务设施。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PK08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岐江新城片区濠头地块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联富社区、六和社区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151.6039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54.1085</w:t>
            </w:r>
            <w:r>
              <w:rPr>
                <w:rFonts w:eastAsia="仿宋_GB2312"/>
              </w:rPr>
              <w:t>公顷、建设用地</w:t>
            </w:r>
            <w:r>
              <w:t>54.4968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42.9985</w:t>
            </w:r>
            <w:r>
              <w:rPr>
                <w:rFonts w:eastAsia="仿宋_GB2312"/>
                <w:color w:val="000000"/>
                <w:szCs w:val="21"/>
              </w:rPr>
              <w:t>公顷。整体开发程度较低，濠东路、火炬文阁大街从片块穿过，东北面靠近城规中山站。片块有濠头中学等公共服务设施。针对本片块的开发需加强基础设施和公共服务配套设施的建设。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PK09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火炬开发区中心片区地块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城东社区、中山港社区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72.8599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31.8799</w:t>
            </w:r>
            <w:r>
              <w:rPr>
                <w:rFonts w:eastAsia="仿宋_GB2312"/>
              </w:rPr>
              <w:t>公顷、建设用地</w:t>
            </w:r>
            <w:r>
              <w:t>28.0193</w:t>
            </w:r>
            <w:r>
              <w:rPr>
                <w:rFonts w:eastAsia="仿宋_GB2312"/>
              </w:rPr>
              <w:t>公顷、未利用地</w:t>
            </w:r>
            <w:r>
              <w:rPr>
                <w:rFonts w:hint="eastAsia" w:eastAsia="仿宋_GB2312"/>
                <w:color w:val="000000"/>
                <w:szCs w:val="21"/>
              </w:rPr>
              <w:t>12.9607</w:t>
            </w:r>
            <w:r>
              <w:rPr>
                <w:rFonts w:eastAsia="仿宋_GB2312"/>
                <w:color w:val="000000"/>
                <w:szCs w:val="21"/>
              </w:rPr>
              <w:t>公顷。整体开发强度较低。福荫大道、环茂一路、浦引路等从片块穿过。片块已有嘉映制镜厂、嘉信医疗器械等制造业企业入驻。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PK10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神涌商业地块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六和社区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3.9406</w:t>
            </w:r>
          </w:p>
        </w:tc>
        <w:tc>
          <w:tcPr>
            <w:tcW w:w="3459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现状用地情况：现状农用地</w:t>
            </w:r>
            <w:r>
              <w:t>2.0526</w:t>
            </w:r>
            <w:r>
              <w:rPr>
                <w:rFonts w:eastAsia="仿宋_GB2312"/>
              </w:rPr>
              <w:t>公顷、建设用地</w:t>
            </w:r>
            <w:r>
              <w:t>1.8880</w:t>
            </w:r>
            <w:r>
              <w:rPr>
                <w:rFonts w:eastAsia="仿宋_GB2312"/>
              </w:rPr>
              <w:t>公顷、未利用地</w:t>
            </w:r>
            <w:r>
              <w:rPr>
                <w:rFonts w:eastAsia="仿宋_GB2312"/>
                <w:color w:val="000000"/>
                <w:szCs w:val="21"/>
              </w:rPr>
              <w:t>0公顷。周边基础设施和配套设施较完善。博爱七路和岐关东路从片块穿过。片块周边有火炬开发区医院、红色军事博物馆等公共服务设施。</w:t>
            </w:r>
          </w:p>
        </w:tc>
      </w:tr>
    </w:tbl>
    <w:p>
      <w:pPr>
        <w:rPr>
          <w:rFonts w:eastAsia="仿宋_GB2312"/>
        </w:rPr>
      </w:pP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三、成片开发条件分析</w:t>
      </w:r>
    </w:p>
    <w:p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（一）必要性分析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本次成片开发是</w:t>
      </w:r>
      <w:bookmarkStart w:id="6" w:name="_GoBack"/>
      <w:bookmarkEnd w:id="6"/>
      <w:r>
        <w:rPr>
          <w:rFonts w:eastAsia="仿宋_GB2312"/>
          <w:sz w:val="28"/>
          <w:szCs w:val="28"/>
        </w:rPr>
        <w:t>落实中山市国民经济和社会发展第十四个五年规划定位的需要，是推进区域开发建设的需要，是保障重点项目落地，加快推进项目建设工作的需要，是推动完善周边公共配套设施与基础设施的建设，促进文化、教育、体育等各项社会事业的迅速发展的需要。</w:t>
      </w:r>
    </w:p>
    <w:p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（二）合规性分析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成片开发地块均不涉及占用永久基本农田和生态保护红线，各片区内公益性用地比例均在40%以上。本次土地征收成片开发方案符合国民经济和社会发展规划、土地利用总体规划、城乡规划和专项规划，做到了保护耕地、节约集约用地、保护生态环境，能够促进经济社会可持续发展。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四、拟安排项目及实施计划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本方案由10个片区组成，总面积为644.0748公顷。结合规划建设计划、被征地单位意愿、征地资金情况、土地审批信息情况等因素，综合分析论证后制定拟建项目开发时序为3年（即2021-2023年）。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2021年优先推进PK02、PK04、PK05、PK07部分、PK08部分土地开发工作；2022年主要启动PK10开发工作，并推进PK01、PK06地块开发前期工作；2023年主要推动PK03、PK07、PK08和PK09土地开发工作。</w:t>
      </w:r>
    </w:p>
    <w:p>
      <w:pPr>
        <w:ind w:firstLine="482" w:firstLineChars="200"/>
        <w:jc w:val="center"/>
        <w:rPr>
          <w:rFonts w:eastAsia="仿宋_GB2312"/>
          <w:b/>
          <w:bCs/>
          <w:sz w:val="24"/>
        </w:rPr>
      </w:pPr>
      <w:r>
        <w:rPr>
          <w:rFonts w:eastAsia="仿宋_GB2312"/>
          <w:b/>
          <w:bCs/>
          <w:sz w:val="24"/>
        </w:rPr>
        <w:t>表2  成片开发项目一览表</w:t>
      </w:r>
    </w:p>
    <w:tbl>
      <w:tblPr>
        <w:tblStyle w:val="10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701"/>
        <w:gridCol w:w="1843"/>
        <w:gridCol w:w="1134"/>
        <w:gridCol w:w="1417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9" w:hRule="exact"/>
          <w:tblHeader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地块编号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区域名称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拟安排项目名称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拟开发面积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主要</w:t>
            </w:r>
          </w:p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用途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开发</w:t>
            </w:r>
          </w:p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时序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3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PK01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岐江新城核心区配套项目地块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商住用地及配套公共服务设施项目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65.9830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居住用地、公共服务设施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PK02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风电智慧能源项目沙边地块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风电智慧能源项目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18.8597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PK03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电子信息产业园片区张五地块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高端装备制造、光电项目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18.4407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PK04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火炬开发区中心片区商业地块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加油站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1.0636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商业用地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PK05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湾西智谷东利地块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高端装备制造业项目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2.0863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PK06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湾西智谷核心区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健康医药产业项目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100.3161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PK07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湾西智谷茂生地块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光电及新一代信息技术产业项目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6.0278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发展储备地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5.7297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PK08</w:t>
            </w:r>
          </w:p>
        </w:tc>
        <w:tc>
          <w:tcPr>
            <w:tcW w:w="1701" w:type="dxa"/>
            <w:vMerge w:val="restart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岐江新城片区濠头地块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濠头商住项目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0.3256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居住用地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</w:p>
        </w:tc>
        <w:tc>
          <w:tcPr>
            <w:tcW w:w="1701" w:type="dxa"/>
            <w:vMerge w:val="continue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color w:val="000000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发展储备地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76.6711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居住用地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PK09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</w:rPr>
              <w:t>火炬开发区中心片区地块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健康医药产业项目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55.9357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工业用地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2023年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exact"/>
          <w:jc w:val="center"/>
        </w:trPr>
        <w:tc>
          <w:tcPr>
            <w:tcW w:w="846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PK10</w:t>
            </w:r>
          </w:p>
        </w:tc>
        <w:tc>
          <w:tcPr>
            <w:tcW w:w="1701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神涌商业地块</w:t>
            </w:r>
          </w:p>
        </w:tc>
        <w:tc>
          <w:tcPr>
            <w:tcW w:w="1843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神涌商业项目</w:t>
            </w:r>
          </w:p>
        </w:tc>
        <w:tc>
          <w:tcPr>
            <w:tcW w:w="1134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3.9406</w:t>
            </w:r>
          </w:p>
        </w:tc>
        <w:tc>
          <w:tcPr>
            <w:tcW w:w="1417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商业用地</w:t>
            </w:r>
          </w:p>
        </w:tc>
        <w:tc>
          <w:tcPr>
            <w:tcW w:w="1418" w:type="dxa"/>
            <w:vAlign w:val="center"/>
          </w:tcPr>
          <w:p>
            <w:pPr>
              <w:spacing w:line="300" w:lineRule="exact"/>
              <w:jc w:val="center"/>
              <w:rPr>
                <w:rFonts w:eastAsia="仿宋_GB2312"/>
                <w:szCs w:val="21"/>
              </w:rPr>
            </w:pPr>
            <w:r>
              <w:rPr>
                <w:rFonts w:eastAsia="仿宋_GB2312"/>
                <w:szCs w:val="21"/>
              </w:rPr>
              <w:t>2022年</w:t>
            </w:r>
          </w:p>
        </w:tc>
      </w:tr>
    </w:tbl>
    <w:p>
      <w:pPr>
        <w:rPr>
          <w:rFonts w:eastAsia="仿宋_GB2312"/>
        </w:rPr>
      </w:pP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五、公益性用地情况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成片开发区域内公益性用地主要为公共管理与公共服务设施用地、城市道路与交通设施用地、绿地与广场用地、公用设施用地、农林用地与水域等。经核查，各成片开发范围均符合《自然资源部关于印发&lt;土地征收成片开发标准（试行）&gt;的通知》（自然资规〔2020〕5号）公益性用地比例一般不低于40%的要求。</w:t>
      </w:r>
    </w:p>
    <w:p>
      <w:pPr>
        <w:ind w:firstLine="482" w:firstLineChars="200"/>
        <w:jc w:val="center"/>
        <w:rPr>
          <w:rFonts w:eastAsia="仿宋_GB2312"/>
          <w:b/>
          <w:bCs/>
          <w:sz w:val="24"/>
        </w:rPr>
      </w:pPr>
      <w:r>
        <w:rPr>
          <w:rFonts w:eastAsia="仿宋_GB2312"/>
          <w:b/>
          <w:bCs/>
          <w:sz w:val="24"/>
        </w:rPr>
        <w:t>表3  公益性用地情况一览表</w:t>
      </w:r>
    </w:p>
    <w:p>
      <w:pPr>
        <w:jc w:val="right"/>
        <w:rPr>
          <w:rFonts w:eastAsia="仿宋_GB2312"/>
        </w:rPr>
      </w:pPr>
      <w:r>
        <w:rPr>
          <w:rFonts w:eastAsia="仿宋_GB2312"/>
        </w:rPr>
        <w:t>单位：公顷、%</w:t>
      </w:r>
    </w:p>
    <w:tbl>
      <w:tblPr>
        <w:tblStyle w:val="11"/>
        <w:tblW w:w="91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6"/>
        <w:gridCol w:w="1946"/>
        <w:gridCol w:w="2002"/>
        <w:gridCol w:w="2067"/>
        <w:gridCol w:w="2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1086" w:type="dxa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地块编号</w:t>
            </w:r>
          </w:p>
        </w:tc>
        <w:tc>
          <w:tcPr>
            <w:tcW w:w="1946" w:type="dxa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片区名称</w:t>
            </w:r>
          </w:p>
        </w:tc>
        <w:tc>
          <w:tcPr>
            <w:tcW w:w="2002" w:type="dxa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公益性用地面积</w:t>
            </w:r>
          </w:p>
        </w:tc>
        <w:tc>
          <w:tcPr>
            <w:tcW w:w="2067" w:type="dxa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总用地面积</w:t>
            </w:r>
          </w:p>
        </w:tc>
        <w:tc>
          <w:tcPr>
            <w:tcW w:w="2067" w:type="dxa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公益性用地比例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PK01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岐江新城核心区配套项目地块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87.6523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102.2542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85.72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PK02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风电智慧能源项目沙边地块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13.5245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31.0552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43.55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PK03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电子信息产业园片区张五地块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14.579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36.4021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40.05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PK04</w:t>
            </w:r>
          </w:p>
        </w:tc>
        <w:tc>
          <w:tcPr>
            <w:tcW w:w="1946" w:type="dxa"/>
            <w:vAlign w:val="center"/>
          </w:tcPr>
          <w:p>
            <w:pPr>
              <w:widowControl/>
              <w:ind w:firstLine="420" w:firstLineChars="200"/>
              <w:jc w:val="left"/>
              <w:rPr>
                <w:rFonts w:eastAsia="仿宋_GB2312"/>
              </w:rPr>
            </w:pPr>
            <w:r>
              <w:rPr>
                <w:rFonts w:eastAsia="仿宋_GB2312"/>
              </w:rPr>
              <w:t>火炬开发区中心片区商业地块</w:t>
            </w:r>
          </w:p>
        </w:tc>
        <w:tc>
          <w:tcPr>
            <w:tcW w:w="2002" w:type="dxa"/>
            <w:vAlign w:val="center"/>
          </w:tcPr>
          <w:p>
            <w:pPr>
              <w:widowControl/>
              <w:ind w:firstLine="440" w:firstLineChars="200"/>
              <w:jc w:val="left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1.2999</w:t>
            </w:r>
          </w:p>
        </w:tc>
        <w:tc>
          <w:tcPr>
            <w:tcW w:w="2067" w:type="dxa"/>
            <w:vAlign w:val="center"/>
          </w:tcPr>
          <w:p>
            <w:pPr>
              <w:widowControl/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2.0178</w:t>
            </w:r>
          </w:p>
        </w:tc>
        <w:tc>
          <w:tcPr>
            <w:tcW w:w="2067" w:type="dxa"/>
            <w:vAlign w:val="center"/>
          </w:tcPr>
          <w:p>
            <w:pPr>
              <w:widowControl/>
              <w:ind w:firstLine="440" w:firstLineChars="200"/>
              <w:jc w:val="left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64.42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PK05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湾西智谷东利地块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2.2456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3.4274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65.52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PK06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湾西智谷核心区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85.8816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208.5010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41.19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PK07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湾西智谷茂生地块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13.7174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32.0127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42.85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PK08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岐江新城片区濠头地块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83.9886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151.6039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55.4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PK09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火炬开发区中心片区地块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37.8871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72.8599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6" w:type="dxa"/>
            <w:vAlign w:val="center"/>
          </w:tcPr>
          <w:p>
            <w:pPr>
              <w:jc w:val="center"/>
              <w:rPr>
                <w:rFonts w:eastAsia="仿宋_GB2312"/>
                <w:color w:val="000000"/>
                <w:szCs w:val="21"/>
              </w:rPr>
            </w:pPr>
            <w:r>
              <w:rPr>
                <w:rFonts w:eastAsia="仿宋_GB2312"/>
                <w:color w:val="000000"/>
                <w:szCs w:val="21"/>
              </w:rPr>
              <w:t>PK10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</w:rPr>
              <w:t>神涌商业地块</w:t>
            </w:r>
          </w:p>
        </w:tc>
        <w:tc>
          <w:tcPr>
            <w:tcW w:w="2002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2.5752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Cs w:val="21"/>
              </w:rPr>
              <w:t>3.9406</w:t>
            </w:r>
          </w:p>
        </w:tc>
        <w:tc>
          <w:tcPr>
            <w:tcW w:w="2067" w:type="dxa"/>
            <w:vAlign w:val="center"/>
          </w:tcPr>
          <w:p>
            <w:pPr>
              <w:jc w:val="center"/>
              <w:rPr>
                <w:rFonts w:eastAsia="仿宋_GB2312"/>
              </w:rPr>
            </w:pPr>
            <w:r>
              <w:rPr>
                <w:rFonts w:eastAsia="仿宋_GB2312"/>
                <w:color w:val="000000"/>
                <w:sz w:val="22"/>
                <w:szCs w:val="22"/>
              </w:rPr>
              <w:t>65.35</w:t>
            </w:r>
          </w:p>
        </w:tc>
      </w:tr>
    </w:tbl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bookmarkStart w:id="0" w:name="_Toc72190178"/>
      <w:r>
        <w:rPr>
          <w:rFonts w:eastAsia="仿宋_GB2312"/>
          <w:b/>
          <w:bCs/>
          <w:sz w:val="32"/>
          <w:szCs w:val="32"/>
        </w:rPr>
        <w:t>六、综合效益评估</w:t>
      </w:r>
      <w:bookmarkEnd w:id="0"/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bookmarkStart w:id="1" w:name="_Toc72190179"/>
      <w:r>
        <w:rPr>
          <w:rFonts w:eastAsia="仿宋_GB2312"/>
          <w:b/>
          <w:bCs/>
          <w:sz w:val="32"/>
          <w:szCs w:val="32"/>
        </w:rPr>
        <w:t>（一）土地利用效益评估</w:t>
      </w:r>
      <w:bookmarkEnd w:id="1"/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通过土地征收成片开发，将有效推进用地节约集约利用，提高产业开发容量，提升土地利用综合效益。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在布局优化方面，片区规划用地符合《中山市城市控制性详细规划实施办法》、《中山市城市总体规划（2011-2020）》等相关规范导则要求，能够科学合理布局各类用地、优化区域功能结构。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bookmarkStart w:id="2" w:name="_Toc72190180"/>
      <w:r>
        <w:rPr>
          <w:rFonts w:eastAsia="仿宋_GB2312"/>
          <w:b/>
          <w:bCs/>
          <w:sz w:val="32"/>
          <w:szCs w:val="32"/>
        </w:rPr>
        <w:t>（二）经济效益评估</w:t>
      </w:r>
      <w:bookmarkEnd w:id="2"/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片区经济盈利能力和抗风险能力相对较强，预计可产生良好的经济效益。项目具有较强的辐射带动作用，能够与周边形成联动发展，改善投资环境促进规模化发展建设，推动经济社会高质量发展。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bookmarkStart w:id="3" w:name="_Toc72190181"/>
      <w:r>
        <w:rPr>
          <w:rFonts w:eastAsia="仿宋_GB2312"/>
          <w:b/>
          <w:bCs/>
          <w:sz w:val="32"/>
          <w:szCs w:val="32"/>
        </w:rPr>
        <w:t>（三）社会效益评估</w:t>
      </w:r>
      <w:bookmarkEnd w:id="3"/>
    </w:p>
    <w:p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1、拉动就业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在带动就业方面，通过片区产业总部、生产基地项目的建设，能够引入外来企业、资本进驻，形成产业聚集，可创造大量就业岗位，促进常住人口数量增长，增加政策财政税收。</w:t>
      </w:r>
    </w:p>
    <w:p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2、公共产品供给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在完善生活设施配套方面，片区内公共设施、生态网络、道路设施等统筹建设，能够有效保障片区设施配套建设需求。</w:t>
      </w:r>
    </w:p>
    <w:p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3、被征地农民增收</w:t>
      </w:r>
    </w:p>
    <w:p>
      <w:pPr>
        <w:ind w:firstLine="560" w:firstLineChars="200"/>
        <w:rPr>
          <w:rFonts w:eastAsia="仿宋_GB2312"/>
        </w:rPr>
      </w:pPr>
      <w:r>
        <w:rPr>
          <w:rFonts w:eastAsia="仿宋_GB2312"/>
          <w:sz w:val="28"/>
          <w:szCs w:val="28"/>
        </w:rPr>
        <w:t>本次土地征收成片开发征地补偿安置标准将按照《关于印发&lt;火炬开发区公益性项目土地房屋征收补偿标准&gt;的通知》（中开管办〔2018〕39号）对被征地农民进行补偿。同时，通过区域产业发展，创造工作岗位，带动就业，有利于提高被征地农民的收入。</w:t>
      </w:r>
    </w:p>
    <w:p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4、公共服务提升</w:t>
      </w:r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在城市形象方面，项目的开发建设将片区打造成“生态宜居、产城一体”的高品质地区，利于城市总体形象的营造及空间规划的落实，保障城市开发建设科学有序的推进。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bookmarkStart w:id="4" w:name="_Toc72190182"/>
      <w:r>
        <w:rPr>
          <w:rFonts w:eastAsia="仿宋_GB2312"/>
          <w:b/>
          <w:bCs/>
          <w:sz w:val="32"/>
          <w:szCs w:val="32"/>
        </w:rPr>
        <w:t>（四）生态效益评估</w:t>
      </w:r>
      <w:bookmarkEnd w:id="4"/>
    </w:p>
    <w:p>
      <w:pPr>
        <w:ind w:firstLine="560" w:firstLineChars="20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本次土地征收成片开发范围不涉及自然保护区核心区和缓冲区、森林公园、地质公园、列入省级以上保护名录的野生动植物栖息地、水源保护区核心区、蓄滞洪区、地质灾害易发区等相关区域。本次成片开发区范围主要引入工业项目和商住项目，发展高新技术产业，改善居住环境，对生态环境影响较小。</w:t>
      </w:r>
    </w:p>
    <w:p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sz w:val="32"/>
          <w:szCs w:val="32"/>
        </w:rPr>
      </w:pPr>
      <w:bookmarkStart w:id="5" w:name="_Toc72190184"/>
      <w:r>
        <w:rPr>
          <w:rFonts w:eastAsia="仿宋_GB2312"/>
          <w:b/>
          <w:bCs/>
          <w:sz w:val="32"/>
          <w:szCs w:val="32"/>
        </w:rPr>
        <w:t>七、结论</w:t>
      </w:r>
      <w:bookmarkEnd w:id="5"/>
    </w:p>
    <w:p>
      <w:pPr>
        <w:ind w:firstLine="56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28"/>
          <w:szCs w:val="28"/>
        </w:rPr>
        <w:t>综上所述，《中山火炬高技术产业开发区土地征收成片开发方案》符合《自然资源部关于印发&lt;土地征收成片开发标准（试行）&gt;的通知》（自然资规〔2020〕5号）的要求。</w:t>
      </w:r>
    </w:p>
    <w:p>
      <w:pPr>
        <w:widowControl/>
        <w:jc w:val="left"/>
        <w:rPr>
          <w:rFonts w:eastAsia="仿宋_GB2312"/>
          <w:b/>
          <w:bCs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br w:type="page"/>
      </w:r>
    </w:p>
    <w:p>
      <w:pPr>
        <w:spacing w:before="156" w:beforeLines="50" w:after="156" w:afterLines="50" w:line="360" w:lineRule="auto"/>
        <w:outlineLvl w:val="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附件：</w:t>
      </w:r>
      <w:r>
        <w:rPr>
          <w:rFonts w:eastAsia="仿宋_GB2312"/>
          <w:sz w:val="32"/>
          <w:szCs w:val="32"/>
        </w:rPr>
        <w:t>1 .成片开发地块位置示意图</w:t>
      </w:r>
    </w:p>
    <w:p>
      <w:pPr>
        <w:spacing w:line="360" w:lineRule="auto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 成片开发地块影像图</w:t>
      </w:r>
    </w:p>
    <w:p>
      <w:pPr>
        <w:widowControl/>
        <w:jc w:val="left"/>
        <w:rPr>
          <w:rFonts w:eastAsia="仿宋_GB2312"/>
          <w:b/>
          <w:bCs/>
          <w:kern w:val="44"/>
          <w:sz w:val="44"/>
          <w:szCs w:val="44"/>
        </w:rPr>
      </w:pPr>
      <w:r>
        <w:rPr>
          <w:rFonts w:eastAsia="仿宋_GB2312"/>
        </w:rPr>
        <w:br w:type="page"/>
      </w:r>
    </w:p>
    <w:p>
      <w:pPr>
        <w:rPr>
          <w:rFonts w:eastAsia="仿宋_GB2312"/>
        </w:rPr>
      </w:pPr>
      <w:r>
        <w:rPr>
          <w:rFonts w:eastAsia="仿宋_GB2312"/>
          <w:sz w:val="32"/>
          <w:szCs w:val="32"/>
        </w:rPr>
        <w:t>附件1 .成片开发地块位置示意图</w:t>
      </w:r>
    </w:p>
    <w:p>
      <w:pPr>
        <w:jc w:val="center"/>
        <w:rPr>
          <w:rFonts w:eastAsia="仿宋_GB2312"/>
          <w:sz w:val="28"/>
          <w:szCs w:val="28"/>
        </w:rPr>
      </w:pPr>
      <w:r>
        <w:rPr>
          <w:rFonts w:eastAsia="仿宋_GB2312"/>
        </w:rPr>
        <w:drawing>
          <wp:inline distT="0" distB="0" distL="0" distR="0">
            <wp:extent cx="5753735" cy="37757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8" t="10399" r="4635" b="6634"/>
                    <a:stretch>
                      <a:fillRect/>
                    </a:stretch>
                  </pic:blipFill>
                  <pic:spPr>
                    <a:xfrm>
                      <a:off x="0" y="0"/>
                      <a:ext cx="5773422" cy="378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eastAsia="仿宋_GB2312"/>
        </w:rPr>
      </w:pPr>
      <w:r>
        <w:rPr>
          <w:rFonts w:eastAsia="仿宋_GB2312"/>
        </w:rPr>
        <w:br w:type="page"/>
      </w:r>
    </w:p>
    <w:p>
      <w:pPr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附件2. 成片开发地块影像图</w:t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PK01</w:t>
      </w:r>
      <w:r>
        <w:rPr>
          <w:rFonts w:hint="eastAsia" w:eastAsia="仿宋_GB2312"/>
        </w:rPr>
        <w:t>：</w:t>
      </w:r>
      <w:r>
        <w:rPr>
          <w:rFonts w:eastAsia="仿宋_GB2312"/>
        </w:rPr>
        <w:t>岐江新城核心区配套项目地块</w:t>
      </w:r>
    </w:p>
    <w:p>
      <w:pPr>
        <w:jc w:val="center"/>
        <w:rPr>
          <w:rFonts w:eastAsia="仿宋_GB2312"/>
          <w:b/>
          <w:bCs/>
          <w:sz w:val="24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3656330</wp:posOffset>
            </wp:positionH>
            <wp:positionV relativeFrom="paragraph">
              <wp:posOffset>3996690</wp:posOffset>
            </wp:positionV>
            <wp:extent cx="1134110" cy="1285875"/>
            <wp:effectExtent l="0" t="0" r="889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1307" cy="13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inline distT="0" distB="0" distL="0" distR="0">
            <wp:extent cx="4343400" cy="51911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PK02</w:t>
      </w:r>
      <w:r>
        <w:rPr>
          <w:rFonts w:hint="eastAsia" w:eastAsia="仿宋_GB2312"/>
        </w:rPr>
        <w:t>：</w:t>
      </w:r>
      <w:r>
        <w:rPr>
          <w:rFonts w:eastAsia="仿宋_GB2312"/>
        </w:rPr>
        <w:t>风电智慧能源项目沙边地块</w:t>
      </w:r>
    </w:p>
    <w:p>
      <w:pPr>
        <w:jc w:val="center"/>
        <w:rPr>
          <w:rFonts w:eastAsia="仿宋_GB2312"/>
          <w:sz w:val="28"/>
          <w:szCs w:val="28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2018665</wp:posOffset>
            </wp:positionV>
            <wp:extent cx="941070" cy="1066800"/>
            <wp:effectExtent l="0" t="0" r="0" b="63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829" cy="10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sz w:val="28"/>
          <w:szCs w:val="28"/>
        </w:rPr>
        <w:drawing>
          <wp:inline distT="0" distB="0" distL="0" distR="0">
            <wp:extent cx="4829175" cy="30289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PK03</w:t>
      </w:r>
      <w:r>
        <w:rPr>
          <w:rFonts w:hint="eastAsia" w:eastAsia="仿宋_GB2312"/>
        </w:rPr>
        <w:t>：</w:t>
      </w:r>
      <w:r>
        <w:rPr>
          <w:rFonts w:eastAsia="仿宋_GB2312"/>
        </w:rPr>
        <w:t>电子信息产业园片区张五地块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2079625</wp:posOffset>
            </wp:positionV>
            <wp:extent cx="941070" cy="1066800"/>
            <wp:effectExtent l="0" t="0" r="0" b="635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869" cy="10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30956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PK04</w:t>
      </w:r>
      <w:r>
        <w:rPr>
          <w:rFonts w:hint="eastAsia" w:eastAsia="仿宋_GB2312"/>
        </w:rPr>
        <w:t>：</w:t>
      </w:r>
      <w:r>
        <w:rPr>
          <w:rFonts w:eastAsia="仿宋_GB2312"/>
        </w:rPr>
        <w:t>火炬开发区中心片区商业地块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190500</wp:posOffset>
            </wp:positionH>
            <wp:positionV relativeFrom="paragraph">
              <wp:posOffset>2266950</wp:posOffset>
            </wp:positionV>
            <wp:extent cx="941070" cy="1066800"/>
            <wp:effectExtent l="0" t="0" r="0" b="63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869" cy="10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4905375" cy="32956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PK05</w:t>
      </w:r>
      <w:r>
        <w:rPr>
          <w:rFonts w:hint="eastAsia" w:eastAsia="仿宋_GB2312"/>
        </w:rPr>
        <w:t>：</w:t>
      </w:r>
      <w:r>
        <w:rPr>
          <w:rFonts w:eastAsia="仿宋_GB2312"/>
        </w:rPr>
        <w:t>湾西智谷东利地块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4324350</wp:posOffset>
            </wp:positionH>
            <wp:positionV relativeFrom="paragraph">
              <wp:posOffset>1503680</wp:posOffset>
            </wp:positionV>
            <wp:extent cx="941070" cy="1066800"/>
            <wp:effectExtent l="0" t="0" r="0" b="63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869" cy="10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25552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PK06</w:t>
      </w:r>
      <w:r>
        <w:rPr>
          <w:rFonts w:hint="eastAsia" w:eastAsia="仿宋_GB2312"/>
        </w:rPr>
        <w:t>：</w:t>
      </w:r>
      <w:r>
        <w:rPr>
          <w:rFonts w:eastAsia="仿宋_GB2312"/>
        </w:rPr>
        <w:t>湾西智谷核心区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2447290</wp:posOffset>
            </wp:positionV>
            <wp:extent cx="1133475" cy="128524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896" cy="1291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370586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</w:rPr>
        <w:t xml:space="preserve"> </w:t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PK07</w:t>
      </w:r>
      <w:r>
        <w:rPr>
          <w:rFonts w:hint="eastAsia" w:eastAsia="仿宋_GB2312"/>
        </w:rPr>
        <w:t>：</w:t>
      </w:r>
      <w:r>
        <w:rPr>
          <w:rFonts w:eastAsia="仿宋_GB2312"/>
        </w:rPr>
        <w:t>湾西智谷茂生地块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19050</wp:posOffset>
            </wp:positionH>
            <wp:positionV relativeFrom="paragraph">
              <wp:posOffset>2053590</wp:posOffset>
            </wp:positionV>
            <wp:extent cx="1085850" cy="1231265"/>
            <wp:effectExtent l="0" t="0" r="0" b="762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808" cy="123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31991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仿宋_GB2312"/>
        </w:rPr>
        <w:t xml:space="preserve"> </w:t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PK08</w:t>
      </w:r>
      <w:r>
        <w:rPr>
          <w:rFonts w:hint="eastAsia" w:eastAsia="仿宋_GB2312"/>
        </w:rPr>
        <w:t>：</w:t>
      </w:r>
      <w:r>
        <w:rPr>
          <w:rFonts w:eastAsia="仿宋_GB2312"/>
        </w:rPr>
        <w:t>岐江新城片区濠头地块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2066290</wp:posOffset>
            </wp:positionV>
            <wp:extent cx="1085850" cy="1231265"/>
            <wp:effectExtent l="0" t="0" r="0" b="762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2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326517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PK09</w:t>
      </w:r>
      <w:r>
        <w:rPr>
          <w:rFonts w:hint="eastAsia" w:eastAsia="仿宋_GB2312"/>
        </w:rPr>
        <w:t>：</w:t>
      </w:r>
      <w:r>
        <w:rPr>
          <w:rFonts w:eastAsia="仿宋_GB2312"/>
        </w:rPr>
        <w:t>火炬开发区中心片区地块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2025650</wp:posOffset>
            </wp:positionV>
            <wp:extent cx="942975" cy="106934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6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302450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eastAsia="仿宋_GB2312"/>
        </w:rPr>
      </w:pPr>
      <w:r>
        <w:rPr>
          <w:rFonts w:eastAsia="仿宋_GB2312"/>
        </w:rPr>
        <w:t>PK10</w:t>
      </w:r>
      <w:r>
        <w:rPr>
          <w:rFonts w:hint="eastAsia" w:eastAsia="仿宋_GB2312"/>
        </w:rPr>
        <w:t>：</w:t>
      </w:r>
      <w:r>
        <w:rPr>
          <w:rFonts w:eastAsia="仿宋_GB2312"/>
        </w:rPr>
        <w:t>神涌商业地块</w:t>
      </w:r>
    </w:p>
    <w:p>
      <w:pPr>
        <w:jc w:val="center"/>
        <w:rPr>
          <w:rFonts w:eastAsia="仿宋_GB2312"/>
        </w:rPr>
      </w:pPr>
      <w:r>
        <w:rPr>
          <w:rFonts w:eastAsia="仿宋_GB2312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9525</wp:posOffset>
            </wp:positionH>
            <wp:positionV relativeFrom="paragraph">
              <wp:posOffset>1948180</wp:posOffset>
            </wp:positionV>
            <wp:extent cx="1181100" cy="1339215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4364" cy="13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</w:rPr>
        <w:drawing>
          <wp:inline distT="0" distB="0" distL="0" distR="0">
            <wp:extent cx="5274310" cy="317944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7781927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5A2"/>
    <w:rsid w:val="00005465"/>
    <w:rsid w:val="0000783A"/>
    <w:rsid w:val="00033B6D"/>
    <w:rsid w:val="000353DD"/>
    <w:rsid w:val="0003575F"/>
    <w:rsid w:val="00050EA6"/>
    <w:rsid w:val="000566D5"/>
    <w:rsid w:val="000600BB"/>
    <w:rsid w:val="00063E6E"/>
    <w:rsid w:val="0007525E"/>
    <w:rsid w:val="00075DE9"/>
    <w:rsid w:val="00076A09"/>
    <w:rsid w:val="00077636"/>
    <w:rsid w:val="00082264"/>
    <w:rsid w:val="00084BD2"/>
    <w:rsid w:val="00085E71"/>
    <w:rsid w:val="000A65C2"/>
    <w:rsid w:val="000C5935"/>
    <w:rsid w:val="000D10B8"/>
    <w:rsid w:val="000D7CB8"/>
    <w:rsid w:val="000F7C15"/>
    <w:rsid w:val="00114382"/>
    <w:rsid w:val="00116009"/>
    <w:rsid w:val="00125CA4"/>
    <w:rsid w:val="00135FD4"/>
    <w:rsid w:val="00140C56"/>
    <w:rsid w:val="00142C54"/>
    <w:rsid w:val="00152AEE"/>
    <w:rsid w:val="00152DCE"/>
    <w:rsid w:val="00160A2D"/>
    <w:rsid w:val="00164462"/>
    <w:rsid w:val="0017122E"/>
    <w:rsid w:val="00177904"/>
    <w:rsid w:val="00180074"/>
    <w:rsid w:val="00181299"/>
    <w:rsid w:val="001819FA"/>
    <w:rsid w:val="00197F4C"/>
    <w:rsid w:val="001B2930"/>
    <w:rsid w:val="001D164F"/>
    <w:rsid w:val="001D380B"/>
    <w:rsid w:val="001D3BFB"/>
    <w:rsid w:val="001E2A5D"/>
    <w:rsid w:val="001E7FC3"/>
    <w:rsid w:val="001F0B76"/>
    <w:rsid w:val="001F6124"/>
    <w:rsid w:val="00207709"/>
    <w:rsid w:val="00222163"/>
    <w:rsid w:val="00225DB9"/>
    <w:rsid w:val="00247943"/>
    <w:rsid w:val="00252B24"/>
    <w:rsid w:val="002544BD"/>
    <w:rsid w:val="00255509"/>
    <w:rsid w:val="00262054"/>
    <w:rsid w:val="00263415"/>
    <w:rsid w:val="00263992"/>
    <w:rsid w:val="00267894"/>
    <w:rsid w:val="00272266"/>
    <w:rsid w:val="00273A4B"/>
    <w:rsid w:val="00273CD3"/>
    <w:rsid w:val="00276C76"/>
    <w:rsid w:val="00280CA8"/>
    <w:rsid w:val="00291F89"/>
    <w:rsid w:val="00292367"/>
    <w:rsid w:val="002936CA"/>
    <w:rsid w:val="00295EEA"/>
    <w:rsid w:val="002A1A0D"/>
    <w:rsid w:val="002A3868"/>
    <w:rsid w:val="002A4945"/>
    <w:rsid w:val="002B0673"/>
    <w:rsid w:val="002C4016"/>
    <w:rsid w:val="002C41C3"/>
    <w:rsid w:val="002C7084"/>
    <w:rsid w:val="002D016D"/>
    <w:rsid w:val="002D3BC7"/>
    <w:rsid w:val="002E29F6"/>
    <w:rsid w:val="002E6AAD"/>
    <w:rsid w:val="002F06AC"/>
    <w:rsid w:val="002F71F6"/>
    <w:rsid w:val="00326E89"/>
    <w:rsid w:val="00331D9A"/>
    <w:rsid w:val="003433C6"/>
    <w:rsid w:val="00354383"/>
    <w:rsid w:val="003732F2"/>
    <w:rsid w:val="00377DD0"/>
    <w:rsid w:val="00380A77"/>
    <w:rsid w:val="00385C43"/>
    <w:rsid w:val="00392EB5"/>
    <w:rsid w:val="00397F07"/>
    <w:rsid w:val="003A5A2E"/>
    <w:rsid w:val="003C2087"/>
    <w:rsid w:val="003F2A32"/>
    <w:rsid w:val="004068D3"/>
    <w:rsid w:val="00420D27"/>
    <w:rsid w:val="00423630"/>
    <w:rsid w:val="004279A7"/>
    <w:rsid w:val="004331E8"/>
    <w:rsid w:val="00433D78"/>
    <w:rsid w:val="00445471"/>
    <w:rsid w:val="00466EBD"/>
    <w:rsid w:val="00471535"/>
    <w:rsid w:val="004746F6"/>
    <w:rsid w:val="004776B6"/>
    <w:rsid w:val="004805A2"/>
    <w:rsid w:val="0048240F"/>
    <w:rsid w:val="00497873"/>
    <w:rsid w:val="004A0829"/>
    <w:rsid w:val="004B55E2"/>
    <w:rsid w:val="004C1D3A"/>
    <w:rsid w:val="004D34E0"/>
    <w:rsid w:val="004E10AC"/>
    <w:rsid w:val="00513C4E"/>
    <w:rsid w:val="00513DFC"/>
    <w:rsid w:val="005211DA"/>
    <w:rsid w:val="0053244E"/>
    <w:rsid w:val="005355CB"/>
    <w:rsid w:val="00545F35"/>
    <w:rsid w:val="00551C28"/>
    <w:rsid w:val="005529E3"/>
    <w:rsid w:val="00554234"/>
    <w:rsid w:val="0055486C"/>
    <w:rsid w:val="00556CDF"/>
    <w:rsid w:val="0058028D"/>
    <w:rsid w:val="00597A23"/>
    <w:rsid w:val="005A5647"/>
    <w:rsid w:val="005B157D"/>
    <w:rsid w:val="005B2BC9"/>
    <w:rsid w:val="005B31DC"/>
    <w:rsid w:val="005C2E0E"/>
    <w:rsid w:val="005D454A"/>
    <w:rsid w:val="005E487B"/>
    <w:rsid w:val="005E78AF"/>
    <w:rsid w:val="005E7DB6"/>
    <w:rsid w:val="005E7E66"/>
    <w:rsid w:val="005F3341"/>
    <w:rsid w:val="005F5A6E"/>
    <w:rsid w:val="00605F64"/>
    <w:rsid w:val="00607023"/>
    <w:rsid w:val="00611DAB"/>
    <w:rsid w:val="00611EFE"/>
    <w:rsid w:val="00620AB1"/>
    <w:rsid w:val="00622871"/>
    <w:rsid w:val="006242F7"/>
    <w:rsid w:val="00647C6D"/>
    <w:rsid w:val="006515B4"/>
    <w:rsid w:val="006577BB"/>
    <w:rsid w:val="006624A7"/>
    <w:rsid w:val="006811C1"/>
    <w:rsid w:val="006907E8"/>
    <w:rsid w:val="00694C7F"/>
    <w:rsid w:val="00697DFB"/>
    <w:rsid w:val="006B5C8A"/>
    <w:rsid w:val="006B7723"/>
    <w:rsid w:val="006C5F89"/>
    <w:rsid w:val="006D654E"/>
    <w:rsid w:val="006E64C9"/>
    <w:rsid w:val="006F0FD3"/>
    <w:rsid w:val="006F4C98"/>
    <w:rsid w:val="00701BF5"/>
    <w:rsid w:val="00713463"/>
    <w:rsid w:val="00722161"/>
    <w:rsid w:val="00731C9E"/>
    <w:rsid w:val="007424BE"/>
    <w:rsid w:val="00750F05"/>
    <w:rsid w:val="00754C11"/>
    <w:rsid w:val="00784AAE"/>
    <w:rsid w:val="00784E16"/>
    <w:rsid w:val="00790258"/>
    <w:rsid w:val="00797AD6"/>
    <w:rsid w:val="007A4656"/>
    <w:rsid w:val="007A7C4C"/>
    <w:rsid w:val="007B47E5"/>
    <w:rsid w:val="007B4B5C"/>
    <w:rsid w:val="007F351A"/>
    <w:rsid w:val="008128D3"/>
    <w:rsid w:val="0081773C"/>
    <w:rsid w:val="00821B40"/>
    <w:rsid w:val="008224A6"/>
    <w:rsid w:val="00841640"/>
    <w:rsid w:val="00850253"/>
    <w:rsid w:val="00852336"/>
    <w:rsid w:val="0085364B"/>
    <w:rsid w:val="008608B9"/>
    <w:rsid w:val="00862259"/>
    <w:rsid w:val="00872C12"/>
    <w:rsid w:val="0087570A"/>
    <w:rsid w:val="00890EF4"/>
    <w:rsid w:val="0089283E"/>
    <w:rsid w:val="008D5C23"/>
    <w:rsid w:val="008D6DC4"/>
    <w:rsid w:val="008F2820"/>
    <w:rsid w:val="00901AAA"/>
    <w:rsid w:val="00904114"/>
    <w:rsid w:val="00911099"/>
    <w:rsid w:val="0092215B"/>
    <w:rsid w:val="00951978"/>
    <w:rsid w:val="00954BCB"/>
    <w:rsid w:val="00955F0E"/>
    <w:rsid w:val="00963C6C"/>
    <w:rsid w:val="00970CDE"/>
    <w:rsid w:val="009762CC"/>
    <w:rsid w:val="009868EA"/>
    <w:rsid w:val="00986FAB"/>
    <w:rsid w:val="00990D2F"/>
    <w:rsid w:val="00993D9F"/>
    <w:rsid w:val="009D4C66"/>
    <w:rsid w:val="009E139B"/>
    <w:rsid w:val="00A061E4"/>
    <w:rsid w:val="00A14CD0"/>
    <w:rsid w:val="00A20B55"/>
    <w:rsid w:val="00A346E9"/>
    <w:rsid w:val="00A50E5C"/>
    <w:rsid w:val="00A62994"/>
    <w:rsid w:val="00A673A1"/>
    <w:rsid w:val="00A712A7"/>
    <w:rsid w:val="00A7466C"/>
    <w:rsid w:val="00A74815"/>
    <w:rsid w:val="00A7507B"/>
    <w:rsid w:val="00AB5AD5"/>
    <w:rsid w:val="00AC2C9B"/>
    <w:rsid w:val="00AC4F50"/>
    <w:rsid w:val="00AD7E2A"/>
    <w:rsid w:val="00AF1595"/>
    <w:rsid w:val="00B025ED"/>
    <w:rsid w:val="00B043EC"/>
    <w:rsid w:val="00B15A9F"/>
    <w:rsid w:val="00B27AA6"/>
    <w:rsid w:val="00B3317B"/>
    <w:rsid w:val="00B553D7"/>
    <w:rsid w:val="00B612C0"/>
    <w:rsid w:val="00B73952"/>
    <w:rsid w:val="00B8427F"/>
    <w:rsid w:val="00B86920"/>
    <w:rsid w:val="00B943E0"/>
    <w:rsid w:val="00BA523C"/>
    <w:rsid w:val="00BB0498"/>
    <w:rsid w:val="00BB0ABF"/>
    <w:rsid w:val="00BC1035"/>
    <w:rsid w:val="00BC545B"/>
    <w:rsid w:val="00BC5F25"/>
    <w:rsid w:val="00BC7592"/>
    <w:rsid w:val="00BD0F1E"/>
    <w:rsid w:val="00BD3E17"/>
    <w:rsid w:val="00BE7A65"/>
    <w:rsid w:val="00C0177B"/>
    <w:rsid w:val="00C2655E"/>
    <w:rsid w:val="00C42B26"/>
    <w:rsid w:val="00C45925"/>
    <w:rsid w:val="00C535A2"/>
    <w:rsid w:val="00C56A4F"/>
    <w:rsid w:val="00C8199C"/>
    <w:rsid w:val="00C837AA"/>
    <w:rsid w:val="00C84862"/>
    <w:rsid w:val="00C9150C"/>
    <w:rsid w:val="00CB5AD2"/>
    <w:rsid w:val="00CE1CDB"/>
    <w:rsid w:val="00CF0754"/>
    <w:rsid w:val="00CF46D3"/>
    <w:rsid w:val="00D022CC"/>
    <w:rsid w:val="00D12F19"/>
    <w:rsid w:val="00D81ADD"/>
    <w:rsid w:val="00D824CE"/>
    <w:rsid w:val="00D82C11"/>
    <w:rsid w:val="00D84650"/>
    <w:rsid w:val="00D9248D"/>
    <w:rsid w:val="00DB351F"/>
    <w:rsid w:val="00DB3890"/>
    <w:rsid w:val="00DD2B85"/>
    <w:rsid w:val="00DE13BC"/>
    <w:rsid w:val="00DE3896"/>
    <w:rsid w:val="00DF2916"/>
    <w:rsid w:val="00E10146"/>
    <w:rsid w:val="00E15D6B"/>
    <w:rsid w:val="00E322B1"/>
    <w:rsid w:val="00E422FF"/>
    <w:rsid w:val="00E47732"/>
    <w:rsid w:val="00E60F37"/>
    <w:rsid w:val="00E737E4"/>
    <w:rsid w:val="00E77827"/>
    <w:rsid w:val="00E8011B"/>
    <w:rsid w:val="00E80D11"/>
    <w:rsid w:val="00E83614"/>
    <w:rsid w:val="00EB16AA"/>
    <w:rsid w:val="00EC1EC1"/>
    <w:rsid w:val="00EC3B06"/>
    <w:rsid w:val="00EC7990"/>
    <w:rsid w:val="00ED53CB"/>
    <w:rsid w:val="00EF1C22"/>
    <w:rsid w:val="00F17777"/>
    <w:rsid w:val="00F226EA"/>
    <w:rsid w:val="00F23003"/>
    <w:rsid w:val="00F43D92"/>
    <w:rsid w:val="00F529F8"/>
    <w:rsid w:val="00F5445E"/>
    <w:rsid w:val="00F565C7"/>
    <w:rsid w:val="00F64E62"/>
    <w:rsid w:val="00F66928"/>
    <w:rsid w:val="00F6775F"/>
    <w:rsid w:val="00F7060B"/>
    <w:rsid w:val="00F74D28"/>
    <w:rsid w:val="00F911E0"/>
    <w:rsid w:val="00F91254"/>
    <w:rsid w:val="00F96020"/>
    <w:rsid w:val="00FA2EAA"/>
    <w:rsid w:val="00FA546F"/>
    <w:rsid w:val="00FA560E"/>
    <w:rsid w:val="00FA79EC"/>
    <w:rsid w:val="00FB04D2"/>
    <w:rsid w:val="00FB707F"/>
    <w:rsid w:val="00FC1614"/>
    <w:rsid w:val="00FC1F8D"/>
    <w:rsid w:val="00FD6A03"/>
    <w:rsid w:val="00FE486B"/>
    <w:rsid w:val="00FE5219"/>
    <w:rsid w:val="32207F20"/>
    <w:rsid w:val="730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0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annotation subject"/>
    <w:basedOn w:val="3"/>
    <w:next w:val="3"/>
    <w:link w:val="21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页眉 字符"/>
    <w:basedOn w:val="12"/>
    <w:link w:val="6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5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批注框文本 字符"/>
    <w:basedOn w:val="12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0">
    <w:name w:val="批注文字 字符"/>
    <w:basedOn w:val="12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1">
    <w:name w:val="批注主题 字符"/>
    <w:basedOn w:val="20"/>
    <w:link w:val="9"/>
    <w:semiHidden/>
    <w:qFormat/>
    <w:uiPriority w:val="99"/>
    <w:rPr>
      <w:rFonts w:ascii="Times New Roman" w:hAnsi="Times New Roman" w:eastAsia="宋体" w:cs="Times New Roman"/>
      <w:b/>
      <w:bCs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661</Words>
  <Characters>3772</Characters>
  <Lines>31</Lines>
  <Paragraphs>8</Paragraphs>
  <TotalTime>1111</TotalTime>
  <ScaleCrop>false</ScaleCrop>
  <LinksUpToDate>false</LinksUpToDate>
  <CharactersWithSpaces>4425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2021-04-22T02:04:00Z</dcterms:created>
  <dc:creator>Administrator</dc:creator>
  <cp:lastModifiedBy>陈淑霞</cp:lastModifiedBy>
  <dcterms:modified xsi:type="dcterms:W3CDTF">2023-11-21T01:13:08Z</dcterms:modified>
  <dc:title>中山火炬高技术产业开发区土地征收成片开发方案</dc:title>
  <cp:revision>325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F61CE5DA0D8C432CAB691B2869C0DADA</vt:lpwstr>
  </property>
</Properties>
</file>