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南头镇中山铁王阀门有限公司“工改工”宗地项目“三旧”改造方案</w:t>
      </w:r>
    </w:p>
    <w:p>
      <w:pPr>
        <w:spacing w:line="574" w:lineRule="exact"/>
        <w:ind w:firstLine="924" w:firstLineChars="300"/>
        <w:rPr>
          <w:rFonts w:ascii="Times New Roman" w:hAnsi="Times New Roman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ind w:firstLine="616" w:firstLineChars="200"/>
        <w:rPr>
          <w:rFonts w:ascii="Times New Roman" w:hAnsi="Times New Roman" w:eastAsia="仿宋_GB2312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</w:rPr>
        <w:t>根据中山市城市更新（“三旧”改造）专项规划和现行控制性详细规划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，南头镇人民政府拟对位于中山市南头镇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南头大道西6号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的工业用地进行改造，由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中山铁王阀门有限公司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自主改造，采取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全面改造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的改造方式。改造方案如下：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一、改造地块基本情况</w:t>
      </w:r>
    </w:p>
    <w:p>
      <w:pPr>
        <w:spacing w:line="574" w:lineRule="exact"/>
        <w:ind w:firstLine="616" w:firstLineChars="200"/>
        <w:rPr>
          <w:rFonts w:ascii="楷体_GB2312" w:hAnsi="楷体_GB2312" w:eastAsia="楷体_GB2312" w:cs="楷体_GB2312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6"/>
          <w:sz w:val="32"/>
          <w:szCs w:val="32"/>
        </w:rPr>
        <w:t>（一）总体情况</w:t>
      </w:r>
    </w:p>
    <w:p>
      <w:pPr>
        <w:spacing w:line="574" w:lineRule="exact"/>
        <w:ind w:firstLine="616" w:firstLineChars="200"/>
        <w:rPr>
          <w:rFonts w:ascii="Times New Roman" w:hAnsi="Times New Roman" w:eastAsia="仿宋_GB2312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>改造地块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位于南头镇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南头大道西6号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，北至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道路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，西至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厂房、住宅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，东至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住宅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，南至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厂房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，用地面积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3.2532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公顷（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32532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平方米，折合约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48.8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亩）。</w:t>
      </w:r>
    </w:p>
    <w:p>
      <w:pPr>
        <w:spacing w:line="574" w:lineRule="exact"/>
        <w:ind w:firstLine="616" w:firstLineChars="200"/>
        <w:rPr>
          <w:rFonts w:ascii="楷体_GB2312" w:hAnsi="楷体_GB2312" w:eastAsia="楷体_GB2312" w:cs="楷体_GB2312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6"/>
          <w:sz w:val="32"/>
          <w:szCs w:val="32"/>
        </w:rPr>
        <w:t>（二）标图入库情况</w:t>
      </w:r>
    </w:p>
    <w:p>
      <w:pPr>
        <w:spacing w:line="574" w:lineRule="exact"/>
        <w:ind w:firstLine="616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hint="eastAsia" w:ascii="Times New Roman" w:hAnsi="Times New Roman" w:eastAsia="仿宋_GB2312"/>
          <w:spacing w:val="-6"/>
          <w:sz w:val="32"/>
          <w:szCs w:val="32"/>
        </w:rPr>
        <w:t>本项目用地范围涉及1个地块，未办理标图入库手续，拟于改造方案批准前同步办理标图入库手续。</w:t>
      </w:r>
    </w:p>
    <w:p>
      <w:pPr>
        <w:spacing w:line="574" w:lineRule="exact"/>
        <w:ind w:firstLine="616" w:firstLineChars="200"/>
        <w:rPr>
          <w:rFonts w:ascii="楷体_GB2312" w:hAnsi="楷体_GB2312" w:eastAsia="楷体_GB2312" w:cs="楷体_GB2312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6"/>
          <w:sz w:val="32"/>
          <w:szCs w:val="32"/>
        </w:rPr>
        <w:t>（三）权属情况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spacing w:val="-6"/>
          <w:kern w:val="0"/>
          <w:sz w:val="32"/>
          <w:szCs w:val="32"/>
          <w:highlight w:val="yellow"/>
        </w:rPr>
      </w:pP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改造地块属国有建设用地，土地用途为工业，</w:t>
      </w:r>
      <w:r>
        <w:rPr>
          <w:rFonts w:ascii="Times New Roman" w:hAnsi="Times New Roman" w:eastAsia="仿宋_GB2312"/>
          <w:kern w:val="0"/>
          <w:sz w:val="32"/>
          <w:szCs w:val="32"/>
        </w:rPr>
        <w:t>改造涉及的土地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已经确权、登记，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不动产权证号为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粤(2023)中山市不动产权第0354896号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为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原土地使用权人中山全立发机械有限公司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自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1993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年开始使用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,2023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  <w:lang w:eastAsia="zh-CN"/>
        </w:rPr>
        <w:t>变更登记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至中山铁王阀门有限公司名下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74" w:lineRule="exact"/>
        <w:ind w:firstLine="616" w:firstLineChars="200"/>
        <w:rPr>
          <w:rFonts w:ascii="楷体_GB2312" w:hAnsi="楷体_GB2312" w:eastAsia="楷体_GB2312" w:cs="楷体_GB2312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6"/>
          <w:sz w:val="32"/>
          <w:szCs w:val="32"/>
        </w:rPr>
        <w:t>（四）土地现状情况</w:t>
      </w:r>
    </w:p>
    <w:p>
      <w:pPr>
        <w:spacing w:line="574" w:lineRule="exact"/>
        <w:ind w:firstLine="616" w:firstLineChars="200"/>
        <w:rPr>
          <w:rFonts w:ascii="Times New Roman" w:hAnsi="Times New Roman" w:eastAsia="仿宋_GB2312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改造范围内现有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21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栋建筑物，自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1993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年开始使用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现有建筑面积</w:t>
      </w:r>
      <w:r>
        <w:rPr>
          <w:rFonts w:hint="eastAsia" w:ascii="Times New Roman" w:hAnsi="Times New Roman" w:eastAsia="仿宋_GB2312"/>
          <w:sz w:val="32"/>
          <w:szCs w:val="32"/>
        </w:rPr>
        <w:t>约24922.61</w:t>
      </w:r>
      <w:r>
        <w:rPr>
          <w:rFonts w:ascii="Times New Roman" w:hAnsi="Times New Roman" w:eastAsia="仿宋_GB2312"/>
          <w:sz w:val="32"/>
          <w:szCs w:val="32"/>
        </w:rPr>
        <w:t>平方米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均已办理规划报建手续，现状容积率0.766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，作工业厂房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和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办公楼所用。</w:t>
      </w:r>
      <w:r>
        <w:rPr>
          <w:rFonts w:ascii="Times New Roman" w:hAnsi="Times New Roman" w:eastAsia="仿宋_GB2312"/>
          <w:sz w:val="32"/>
          <w:szCs w:val="32"/>
          <w:highlight w:val="none"/>
        </w:rPr>
        <w:t>该地块目前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未</w:t>
      </w:r>
      <w:r>
        <w:rPr>
          <w:rFonts w:ascii="Times New Roman" w:hAnsi="Times New Roman" w:eastAsia="仿宋_GB2312"/>
          <w:sz w:val="32"/>
          <w:szCs w:val="32"/>
          <w:highlight w:val="none"/>
        </w:rPr>
        <w:t>拆除建筑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物</w:t>
      </w:r>
      <w:r>
        <w:rPr>
          <w:rFonts w:ascii="Times New Roman" w:hAnsi="Times New Roman" w:eastAsia="仿宋_GB2312"/>
          <w:sz w:val="32"/>
          <w:szCs w:val="32"/>
          <w:highlight w:val="none"/>
        </w:rPr>
        <w:t>，改造前年产值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约</w:t>
      </w:r>
      <w:r>
        <w:rPr>
          <w:rFonts w:ascii="Times New Roman" w:hAnsi="Times New Roman" w:eastAsia="仿宋_GB2312"/>
          <w:sz w:val="32"/>
          <w:szCs w:val="32"/>
          <w:highlight w:val="none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100</w:t>
      </w:r>
      <w:r>
        <w:rPr>
          <w:rFonts w:ascii="Times New Roman" w:hAnsi="Times New Roman" w:eastAsia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亩均产值约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84.02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万元/亩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）</w:t>
      </w:r>
      <w:r>
        <w:rPr>
          <w:rFonts w:ascii="Times New Roman" w:hAnsi="Times New Roman" w:eastAsia="仿宋_GB2312"/>
          <w:sz w:val="32"/>
          <w:szCs w:val="32"/>
          <w:highlight w:val="none"/>
        </w:rPr>
        <w:t>，年税收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约</w:t>
      </w:r>
      <w:r>
        <w:rPr>
          <w:rFonts w:ascii="Times New Roman" w:hAnsi="Times New Roman" w:eastAsia="仿宋_GB2312"/>
          <w:sz w:val="32"/>
          <w:szCs w:val="32"/>
          <w:highlight w:val="none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75</w:t>
      </w:r>
      <w:r>
        <w:rPr>
          <w:rFonts w:ascii="Times New Roman" w:hAnsi="Times New Roman" w:eastAsia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亩均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税收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1.54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万元/亩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ind w:firstLine="616" w:firstLineChars="200"/>
        <w:jc w:val="left"/>
        <w:rPr>
          <w:rFonts w:ascii="Times New Roman" w:hAnsi="Times New Roman" w:eastAsia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改造主体地块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不涉及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闲置、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查封、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抵押、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历史文化资源要素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、土壤环境潜在监管地块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等情况。</w:t>
      </w:r>
    </w:p>
    <w:p>
      <w:pPr>
        <w:spacing w:line="574" w:lineRule="exact"/>
        <w:ind w:firstLine="616" w:firstLineChars="200"/>
        <w:rPr>
          <w:rFonts w:ascii="楷体_GB2312" w:hAnsi="楷体_GB2312" w:eastAsia="楷体_GB2312" w:cs="楷体_GB2312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6"/>
          <w:sz w:val="32"/>
          <w:szCs w:val="32"/>
        </w:rPr>
        <w:t>（五）规划情况</w:t>
      </w:r>
    </w:p>
    <w:p>
      <w:pPr>
        <w:spacing w:line="574" w:lineRule="exact"/>
        <w:ind w:firstLine="616" w:firstLineChars="200"/>
        <w:rPr>
          <w:rFonts w:ascii="Times New Roman" w:hAnsi="Times New Roman" w:eastAsia="仿宋_GB2312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改造主体地块符合土地利用总体规划、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国土空间规划及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控制性详细规划。其中，在土地利用总体规划中，属建设用地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3.2532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公顷（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32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,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532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平方米，折合约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48.8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亩）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；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在国土空间规划中，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属建设用地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3.2532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公顷（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32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,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532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平方米，折合约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48.8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亩）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；在《中山市南头镇升辉北路西片区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0401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单元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01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街区和南城片区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0403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单元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01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街区控制性详细规划一般修改（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2023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）》（中府函〔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2023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〕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204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号）中，一类工业用地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2.5591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公顷（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25591.26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平方米，折合约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38.39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亩），规划容积率为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1.0-3.5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，绿地率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10-15%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，建筑密度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35-60%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pacing w:val="-6"/>
          <w:sz w:val="32"/>
        </w:rPr>
        <w:t>建筑高度≤50米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；公路用地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0.0775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公顷（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774.82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平方米，折合约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1.16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亩）；城镇道路用地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0.1322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公顷（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1321.9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平方米，折合约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1.98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亩）；公园绿地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0.1120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公顷（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1120.27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平方米，折合约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1.68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亩）；防护绿地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0.3724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公顷（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3723.75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平方米，折合约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5.59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亩）。</w:t>
      </w:r>
    </w:p>
    <w:p>
      <w:pPr>
        <w:spacing w:line="574" w:lineRule="exact"/>
        <w:ind w:firstLine="616" w:firstLineChars="200"/>
        <w:rPr>
          <w:rFonts w:ascii="Times New Roman" w:hAnsi="Times New Roman" w:eastAsia="仿宋_GB2312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改造主体地块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已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纳入《中山市城市更新（‘三旧’改造）专项规划（2020-2035）》。</w:t>
      </w:r>
    </w:p>
    <w:p>
      <w:pPr>
        <w:spacing w:line="574" w:lineRule="exact"/>
        <w:ind w:firstLine="616" w:firstLineChars="200"/>
        <w:rPr>
          <w:rFonts w:ascii="Times New Roman" w:hAnsi="Times New Roman" w:eastAsia="仿宋_GB2312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改造主体地块位于城镇开发边界内，不涉及永久基本农田、生态保护红线等管控要求，改造主体地块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不涉及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市域蓝线（陆域控制线、现状河涌河口线、规划河涌河口线）。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二、改造意愿情况</w:t>
      </w:r>
    </w:p>
    <w:p>
      <w:pPr>
        <w:spacing w:line="574" w:lineRule="exact"/>
        <w:ind w:firstLine="616" w:firstLineChars="200"/>
        <w:rPr>
          <w:rFonts w:ascii="Times New Roman" w:hAnsi="Times New Roman" w:eastAsia="仿宋_GB2312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改造项目涉及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中山铁王阀门有限公司1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个权利主体，南头镇人民政府已按照法律法规，就改造范围、土地现状、改造主体及拟改造情况等事项征询其改造意愿，权利人同意将涉及土地、房屋纳入改造范围。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三、改造主体及拟改造情况</w:t>
      </w:r>
    </w:p>
    <w:p>
      <w:pPr>
        <w:spacing w:line="574" w:lineRule="exact"/>
        <w:ind w:firstLine="616" w:firstLineChars="200"/>
        <w:rPr>
          <w:rFonts w:ascii="Times New Roman" w:hAnsi="Times New Roman" w:eastAsia="仿宋_GB2312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根据有关规划要求，改造项目严格按照土地利用总体规划、控制性详细规划管控要求实施建设。</w:t>
      </w:r>
      <w:r>
        <w:rPr>
          <w:rFonts w:ascii="Times New Roman" w:hAnsi="Times New Roman" w:eastAsia="仿宋_GB2312"/>
          <w:color w:val="auto"/>
          <w:spacing w:val="-6"/>
          <w:kern w:val="0"/>
          <w:sz w:val="32"/>
          <w:szCs w:val="32"/>
          <w:highlight w:val="none"/>
        </w:rPr>
        <w:t>在控制性详细规划中属</w:t>
      </w:r>
      <w:r>
        <w:rPr>
          <w:rFonts w:ascii="Times New Roman" w:hAnsi="Times New Roman" w:eastAsia="仿宋_GB2312"/>
          <w:color w:val="auto"/>
          <w:spacing w:val="-6"/>
          <w:sz w:val="32"/>
          <w:highlight w:val="none"/>
        </w:rPr>
        <w:t>道路和绿地等公益性</w:t>
      </w:r>
      <w:r>
        <w:rPr>
          <w:rFonts w:ascii="Times New Roman" w:hAnsi="Times New Roman" w:eastAsia="仿宋_GB2312"/>
          <w:color w:val="auto"/>
          <w:spacing w:val="-6"/>
          <w:kern w:val="0"/>
          <w:sz w:val="32"/>
          <w:szCs w:val="32"/>
          <w:highlight w:val="none"/>
        </w:rPr>
        <w:t>用地部分，日后南头镇人民政府需按规划开发建设时，改造主体应</w:t>
      </w:r>
      <w:r>
        <w:rPr>
          <w:rFonts w:hint="eastAsia" w:ascii="Times New Roman" w:hAnsi="Times New Roman" w:eastAsia="仿宋_GB2312"/>
          <w:color w:val="auto"/>
          <w:spacing w:val="-6"/>
          <w:kern w:val="0"/>
          <w:sz w:val="32"/>
          <w:szCs w:val="32"/>
          <w:highlight w:val="none"/>
        </w:rPr>
        <w:t>按相关规定处理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。</w:t>
      </w:r>
    </w:p>
    <w:p>
      <w:pPr>
        <w:ind w:firstLine="616" w:firstLineChars="200"/>
        <w:rPr>
          <w:rFonts w:ascii="Times New Roman" w:hAnsi="Times New Roman" w:eastAsia="仿宋_GB2312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该改造项目属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工改工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宗地项目，拟采取自主改造方式，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由中山铁王阀门有限公司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作为改造主体实施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全面改造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。改造后</w:t>
      </w:r>
      <w:r>
        <w:rPr>
          <w:rFonts w:hint="eastAsia" w:ascii="Times New Roman" w:hAnsi="Times New Roman" w:eastAsia="仿宋_GB2312"/>
          <w:spacing w:val="-6"/>
          <w:sz w:val="32"/>
        </w:rPr>
        <w:t>主要用作生产高中低压阀门，控制阀，调节阀和仪表阀门，气动执行器和电动执行器及其配件，采油井口装置，不锈钢管件，模具、夹具及五金件（电镀工序发外加工），铸钢件（含碳钢、合金钢、不锈钢等）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，在符合控制性详细规划的基础上，容积率不小于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2.0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，总建筑面积不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小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于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69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,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100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平方米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（含不计容建筑面积4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,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000平方米）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，其中新建建筑面积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不小于69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,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100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平方米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（含不计容建筑面积4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,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000平方米）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不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保留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原建筑物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。</w:t>
      </w:r>
    </w:p>
    <w:p>
      <w:pPr>
        <w:spacing w:line="574" w:lineRule="exact"/>
        <w:ind w:firstLine="616" w:firstLineChars="200"/>
        <w:rPr>
          <w:rFonts w:ascii="Times New Roman" w:hAnsi="Times New Roman" w:eastAsia="仿宋_GB2312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改造后引入项目相关情况符合《产业结构调整指导目录(2019年本)》《中华人民共和国环境影响评价法》《中山市涉挥发性有机物项目环保管理规定》等相关要求。改造后年产值将达到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60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,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000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亩均产值约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1</w:t>
      </w:r>
      <w:r>
        <w:rPr>
          <w:rFonts w:ascii="Times New Roman" w:hAnsi="Times New Roman" w:eastAsia="仿宋_GB2312"/>
          <w:kern w:val="0"/>
          <w:sz w:val="32"/>
          <w:szCs w:val="32"/>
        </w:rPr>
        <w:t>,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22</w:t>
      </w:r>
      <w:r>
        <w:rPr>
          <w:rFonts w:ascii="Times New Roman" w:hAnsi="Times New Roman" w:eastAsia="仿宋_GB2312"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.5</w:t>
      </w:r>
      <w:r>
        <w:rPr>
          <w:rFonts w:ascii="Times New Roman" w:hAnsi="Times New Roman" w:eastAsia="仿宋_GB2312"/>
          <w:kern w:val="0"/>
          <w:sz w:val="32"/>
          <w:szCs w:val="32"/>
        </w:rPr>
        <w:t>1万元/亩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，年税收将达到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2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,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500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亩均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税收</w:t>
      </w:r>
      <w:r>
        <w:rPr>
          <w:rFonts w:ascii="Times New Roman" w:hAnsi="Times New Roman" w:eastAsia="仿宋_GB2312"/>
          <w:kern w:val="0"/>
          <w:sz w:val="32"/>
          <w:szCs w:val="32"/>
        </w:rPr>
        <w:t>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51.</w:t>
      </w:r>
      <w:r>
        <w:rPr>
          <w:rFonts w:ascii="Times New Roman" w:hAnsi="Times New Roman" w:eastAsia="仿宋_GB2312"/>
          <w:kern w:val="0"/>
          <w:sz w:val="32"/>
          <w:szCs w:val="32"/>
        </w:rPr>
        <w:t>23万元/亩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。</w:t>
      </w:r>
    </w:p>
    <w:p>
      <w:pPr>
        <w:numPr>
          <w:ilvl w:val="0"/>
          <w:numId w:val="1"/>
        </w:num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资金筹措</w:t>
      </w:r>
    </w:p>
    <w:p>
      <w:pPr>
        <w:spacing w:line="574" w:lineRule="exact"/>
        <w:ind w:firstLine="592"/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项目改造成本为</w:t>
      </w:r>
      <w:r>
        <w:rPr>
          <w:rFonts w:hint="default" w:ascii="Times New Roman" w:hAnsi="Times New Roman" w:eastAsia="仿宋_GB2312"/>
          <w:spacing w:val="-6"/>
          <w:kern w:val="0"/>
          <w:sz w:val="32"/>
          <w:szCs w:val="32"/>
          <w:highlight w:val="none"/>
          <w:lang w:val="en-US"/>
        </w:rPr>
        <w:t>16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,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000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万元，由改造主体拟投入资金</w:t>
      </w:r>
      <w:r>
        <w:rPr>
          <w:rFonts w:hint="default" w:ascii="Times New Roman" w:hAnsi="Times New Roman" w:eastAsia="仿宋_GB2312"/>
          <w:spacing w:val="-6"/>
          <w:kern w:val="0"/>
          <w:sz w:val="32"/>
          <w:szCs w:val="32"/>
          <w:highlight w:val="none"/>
          <w:lang w:val="en-US"/>
        </w:rPr>
        <w:t>16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,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000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万元，其中自有资金</w:t>
      </w:r>
      <w:r>
        <w:rPr>
          <w:rFonts w:hint="default" w:ascii="Times New Roman" w:hAnsi="Times New Roman" w:eastAsia="仿宋_GB2312"/>
          <w:spacing w:val="-6"/>
          <w:kern w:val="0"/>
          <w:sz w:val="32"/>
          <w:szCs w:val="32"/>
          <w:highlight w:val="none"/>
          <w:lang w:val="en-US"/>
        </w:rPr>
        <w:t>9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,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000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万元，银行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  <w:lang w:eastAsia="zh-CN"/>
        </w:rPr>
        <w:t>借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贷</w:t>
      </w:r>
      <w:r>
        <w:rPr>
          <w:rFonts w:hint="default" w:ascii="Times New Roman" w:hAnsi="Times New Roman" w:eastAsia="仿宋_GB2312"/>
          <w:spacing w:val="-6"/>
          <w:kern w:val="0"/>
          <w:sz w:val="32"/>
          <w:szCs w:val="32"/>
          <w:highlight w:val="none"/>
          <w:lang w:val="en-US" w:eastAsia="zh-CN"/>
        </w:rPr>
        <w:t>7</w:t>
      </w:r>
      <w:bookmarkStart w:id="0" w:name="_GoBack"/>
      <w:bookmarkEnd w:id="0"/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  <w:lang w:val="en-US" w:eastAsia="zh-CN"/>
        </w:rPr>
        <w:t>,000万元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</w:rPr>
        <w:t>开发时序</w:t>
      </w:r>
    </w:p>
    <w:p>
      <w:pPr>
        <w:spacing w:line="574" w:lineRule="exact"/>
        <w:ind w:firstLine="592"/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项目开发周期为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3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年，拟分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三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期开发。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其中一期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开发时间为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2024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03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月，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  <w:lang w:eastAsia="zh-CN"/>
        </w:rPr>
        <w:t>竣工时间为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  <w:lang w:val="en-US" w:eastAsia="zh-CN"/>
        </w:rPr>
        <w:t>2025年3月，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拟投入资金</w:t>
      </w:r>
      <w:r>
        <w:rPr>
          <w:rFonts w:hint="default" w:ascii="Times New Roman" w:hAnsi="Times New Roman" w:eastAsia="仿宋_GB2312"/>
          <w:spacing w:val="-6"/>
          <w:kern w:val="0"/>
          <w:sz w:val="32"/>
          <w:szCs w:val="32"/>
          <w:highlight w:val="none"/>
          <w:lang w:val="en-US"/>
        </w:rPr>
        <w:t>8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000万元，拟建建筑面积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  <w:lang w:eastAsia="zh-CN"/>
        </w:rPr>
        <w:t>不小于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3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  <w:lang w:val="en-US" w:eastAsia="zh-CN"/>
        </w:rPr>
        <w:t>2800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平方米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（含不计容建筑面积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0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平方米）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，主要实施建设B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栋厂房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  <w:lang w:eastAsia="zh-CN"/>
        </w:rPr>
        <w:t>和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宿舍；二期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开发时间为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2025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年8月，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  <w:lang w:eastAsia="zh-CN"/>
        </w:rPr>
        <w:t>竣工时间为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  <w:lang w:val="en-US" w:eastAsia="zh-CN"/>
        </w:rPr>
        <w:t>2026年8月，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拟投入资金</w:t>
      </w:r>
      <w:r>
        <w:rPr>
          <w:rFonts w:hint="default" w:ascii="Times New Roman" w:hAnsi="Times New Roman" w:eastAsia="仿宋_GB2312"/>
          <w:spacing w:val="-6"/>
          <w:kern w:val="0"/>
          <w:sz w:val="32"/>
          <w:szCs w:val="32"/>
          <w:highlight w:val="none"/>
          <w:lang w:val="en-US"/>
        </w:rPr>
        <w:t>58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00万元，拟建建筑面积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  <w:lang w:eastAsia="zh-CN"/>
        </w:rPr>
        <w:t>不小于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  <w:lang w:val="en-US" w:eastAsia="zh-CN"/>
        </w:rPr>
        <w:t>30900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平方米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（含不计容建筑面积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  <w:lang w:val="en-US" w:eastAsia="zh-CN"/>
        </w:rPr>
        <w:t>4000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平方米）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，主要实施建设A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栋厂房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  <w:lang w:eastAsia="zh-CN"/>
        </w:rPr>
        <w:t>和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停车场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  <w:lang w:eastAsia="zh-CN"/>
        </w:rPr>
        <w:t>等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；三期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开发时间为2026年5月，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  <w:lang w:eastAsia="zh-CN"/>
        </w:rPr>
        <w:t>竣工时间为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  <w:lang w:val="en-US" w:eastAsia="zh-CN"/>
        </w:rPr>
        <w:t>2027年5月，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拟投入资金</w:t>
      </w:r>
      <w:r>
        <w:rPr>
          <w:rFonts w:hint="default" w:ascii="Times New Roman" w:hAnsi="Times New Roman" w:eastAsia="仿宋_GB2312"/>
          <w:spacing w:val="-6"/>
          <w:kern w:val="0"/>
          <w:sz w:val="32"/>
          <w:szCs w:val="32"/>
          <w:highlight w:val="none"/>
          <w:lang w:val="en-US"/>
        </w:rPr>
        <w:t>22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00万元，拟建建筑面积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  <w:lang w:eastAsia="zh-CN"/>
        </w:rPr>
        <w:t>不小于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  <w:lang w:val="en-US" w:eastAsia="zh-CN"/>
        </w:rPr>
        <w:t>5400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平方米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（含不计容建筑面积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0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平方米）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，主要实施建设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  <w:highlight w:val="none"/>
        </w:rPr>
        <w:t>研发车间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74" w:lineRule="exact"/>
        <w:ind w:firstLine="616" w:firstLineChars="200"/>
        <w:rPr>
          <w:rFonts w:ascii="Times New Roman" w:hAnsi="Times New Roman" w:eastAsia="仿宋_GB2312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六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实施监管</w:t>
      </w:r>
    </w:p>
    <w:p>
      <w:pPr>
        <w:spacing w:line="574" w:lineRule="exact"/>
        <w:ind w:firstLine="616" w:firstLineChars="200"/>
        <w:rPr>
          <w:rFonts w:ascii="Times New Roman" w:hAnsi="Times New Roman" w:eastAsia="仿宋_GB231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详见南头镇与改造主体签订的项目实施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监管协议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。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MzVmNWMwNjc1MjYyN2JjMmNiNzQwMzIwODlhZDcifQ=="/>
  </w:docVars>
  <w:rsids>
    <w:rsidRoot w:val="00172A27"/>
    <w:rsid w:val="000014B0"/>
    <w:rsid w:val="00033740"/>
    <w:rsid w:val="00035F31"/>
    <w:rsid w:val="00046897"/>
    <w:rsid w:val="00070387"/>
    <w:rsid w:val="00097EB7"/>
    <w:rsid w:val="000A12D9"/>
    <w:rsid w:val="000D418E"/>
    <w:rsid w:val="001072B7"/>
    <w:rsid w:val="00162703"/>
    <w:rsid w:val="00172A27"/>
    <w:rsid w:val="00174B17"/>
    <w:rsid w:val="00192754"/>
    <w:rsid w:val="0019404A"/>
    <w:rsid w:val="001A1A54"/>
    <w:rsid w:val="001E78B0"/>
    <w:rsid w:val="002303DF"/>
    <w:rsid w:val="00291C7E"/>
    <w:rsid w:val="002F6D0C"/>
    <w:rsid w:val="00306083"/>
    <w:rsid w:val="00316F0A"/>
    <w:rsid w:val="00341766"/>
    <w:rsid w:val="00342E5A"/>
    <w:rsid w:val="0034455A"/>
    <w:rsid w:val="00384CA6"/>
    <w:rsid w:val="004828F9"/>
    <w:rsid w:val="004857AD"/>
    <w:rsid w:val="004948DC"/>
    <w:rsid w:val="004A710F"/>
    <w:rsid w:val="004B0D00"/>
    <w:rsid w:val="004C635F"/>
    <w:rsid w:val="004D32FB"/>
    <w:rsid w:val="004D554B"/>
    <w:rsid w:val="004E4ACF"/>
    <w:rsid w:val="00545B20"/>
    <w:rsid w:val="00552C48"/>
    <w:rsid w:val="00560181"/>
    <w:rsid w:val="00593D2D"/>
    <w:rsid w:val="005A33F2"/>
    <w:rsid w:val="00600E0F"/>
    <w:rsid w:val="00634581"/>
    <w:rsid w:val="006A6C32"/>
    <w:rsid w:val="006F4455"/>
    <w:rsid w:val="00701413"/>
    <w:rsid w:val="00701BBE"/>
    <w:rsid w:val="00710252"/>
    <w:rsid w:val="00762E87"/>
    <w:rsid w:val="0079110A"/>
    <w:rsid w:val="007A1272"/>
    <w:rsid w:val="007A2FCC"/>
    <w:rsid w:val="007C22E5"/>
    <w:rsid w:val="00816ECC"/>
    <w:rsid w:val="00821228"/>
    <w:rsid w:val="008608E8"/>
    <w:rsid w:val="008F4C7F"/>
    <w:rsid w:val="00900756"/>
    <w:rsid w:val="0090771C"/>
    <w:rsid w:val="0092694E"/>
    <w:rsid w:val="00930D71"/>
    <w:rsid w:val="00934CC6"/>
    <w:rsid w:val="009428CB"/>
    <w:rsid w:val="00983F47"/>
    <w:rsid w:val="0098660F"/>
    <w:rsid w:val="009904D9"/>
    <w:rsid w:val="009925FC"/>
    <w:rsid w:val="009A55B8"/>
    <w:rsid w:val="009B3D33"/>
    <w:rsid w:val="009B684A"/>
    <w:rsid w:val="009E6C14"/>
    <w:rsid w:val="009F0A4E"/>
    <w:rsid w:val="00A00F1C"/>
    <w:rsid w:val="00A15CD0"/>
    <w:rsid w:val="00A36BA7"/>
    <w:rsid w:val="00A6510A"/>
    <w:rsid w:val="00A85A32"/>
    <w:rsid w:val="00AF2453"/>
    <w:rsid w:val="00B41396"/>
    <w:rsid w:val="00B75FAF"/>
    <w:rsid w:val="00B830C7"/>
    <w:rsid w:val="00BC0C4D"/>
    <w:rsid w:val="00BD1F5E"/>
    <w:rsid w:val="00BD21E7"/>
    <w:rsid w:val="00BE04F5"/>
    <w:rsid w:val="00C046D1"/>
    <w:rsid w:val="00C62386"/>
    <w:rsid w:val="00C96277"/>
    <w:rsid w:val="00CB2EDE"/>
    <w:rsid w:val="00CC2320"/>
    <w:rsid w:val="00D1442A"/>
    <w:rsid w:val="00D27E27"/>
    <w:rsid w:val="00D412CB"/>
    <w:rsid w:val="00D72683"/>
    <w:rsid w:val="00DD02C3"/>
    <w:rsid w:val="00DD6FDC"/>
    <w:rsid w:val="00DE4F85"/>
    <w:rsid w:val="00E17EEB"/>
    <w:rsid w:val="00E30A38"/>
    <w:rsid w:val="00E413E7"/>
    <w:rsid w:val="00E82338"/>
    <w:rsid w:val="00E83F38"/>
    <w:rsid w:val="00EE00B2"/>
    <w:rsid w:val="00F247E0"/>
    <w:rsid w:val="00F33FCF"/>
    <w:rsid w:val="00F53954"/>
    <w:rsid w:val="00F57C87"/>
    <w:rsid w:val="00FB41E3"/>
    <w:rsid w:val="00FD2EF6"/>
    <w:rsid w:val="04453755"/>
    <w:rsid w:val="07024B48"/>
    <w:rsid w:val="08196BB2"/>
    <w:rsid w:val="09E3712E"/>
    <w:rsid w:val="0AAB0FB9"/>
    <w:rsid w:val="0C7D16A2"/>
    <w:rsid w:val="14945C12"/>
    <w:rsid w:val="14F7197E"/>
    <w:rsid w:val="18A92CDC"/>
    <w:rsid w:val="19C04EC7"/>
    <w:rsid w:val="1C807DEC"/>
    <w:rsid w:val="1DFE1175"/>
    <w:rsid w:val="1FD069CF"/>
    <w:rsid w:val="22FA6D83"/>
    <w:rsid w:val="231F6527"/>
    <w:rsid w:val="261671F9"/>
    <w:rsid w:val="277010FD"/>
    <w:rsid w:val="298267AD"/>
    <w:rsid w:val="2CBF4699"/>
    <w:rsid w:val="31603F72"/>
    <w:rsid w:val="363E3008"/>
    <w:rsid w:val="36FA7B2A"/>
    <w:rsid w:val="37553CBE"/>
    <w:rsid w:val="37642CA9"/>
    <w:rsid w:val="3DDB7A26"/>
    <w:rsid w:val="3ECC2CFA"/>
    <w:rsid w:val="3FDA7319"/>
    <w:rsid w:val="41E358BB"/>
    <w:rsid w:val="43132F77"/>
    <w:rsid w:val="4A4E782A"/>
    <w:rsid w:val="4B562FAD"/>
    <w:rsid w:val="4B6C5038"/>
    <w:rsid w:val="4E4E15E7"/>
    <w:rsid w:val="4F0932D4"/>
    <w:rsid w:val="4F8365E0"/>
    <w:rsid w:val="504857BC"/>
    <w:rsid w:val="51643EE7"/>
    <w:rsid w:val="51CC69CF"/>
    <w:rsid w:val="52240CFE"/>
    <w:rsid w:val="52A336C4"/>
    <w:rsid w:val="52C83D99"/>
    <w:rsid w:val="55CF3DE0"/>
    <w:rsid w:val="5A1B4661"/>
    <w:rsid w:val="5A9D4300"/>
    <w:rsid w:val="5BC16969"/>
    <w:rsid w:val="5D755C5D"/>
    <w:rsid w:val="5F575F2F"/>
    <w:rsid w:val="6052680F"/>
    <w:rsid w:val="689D070A"/>
    <w:rsid w:val="696C63B8"/>
    <w:rsid w:val="6B224166"/>
    <w:rsid w:val="6B690293"/>
    <w:rsid w:val="6B9A0018"/>
    <w:rsid w:val="6DF84544"/>
    <w:rsid w:val="70FA7F2E"/>
    <w:rsid w:val="718D29B2"/>
    <w:rsid w:val="72905F53"/>
    <w:rsid w:val="72951502"/>
    <w:rsid w:val="72B744B6"/>
    <w:rsid w:val="72E42ECA"/>
    <w:rsid w:val="72ED267E"/>
    <w:rsid w:val="738E0391"/>
    <w:rsid w:val="75684B0B"/>
    <w:rsid w:val="75ED6880"/>
    <w:rsid w:val="764F0EE7"/>
    <w:rsid w:val="765C217E"/>
    <w:rsid w:val="79A30652"/>
    <w:rsid w:val="7A2E762F"/>
    <w:rsid w:val="7A867391"/>
    <w:rsid w:val="7C2F0F37"/>
    <w:rsid w:val="7C75058C"/>
    <w:rsid w:val="7D2657F7"/>
    <w:rsid w:val="7D654F6F"/>
    <w:rsid w:val="7E9758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widowControl/>
      <w:spacing w:before="120" w:after="100" w:afterAutospacing="1"/>
    </w:pPr>
    <w:rPr>
      <w:rFonts w:ascii="Arial" w:hAnsi="Arial" w:cs="Arial"/>
      <w:sz w:val="24"/>
      <w:lang w:bidi="gu-IN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3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343</Words>
  <Characters>1958</Characters>
  <Lines>16</Lines>
  <Paragraphs>4</Paragraphs>
  <TotalTime>67</TotalTime>
  <ScaleCrop>false</ScaleCrop>
  <LinksUpToDate>false</LinksUpToDate>
  <CharactersWithSpaces>2297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2023-11-06T07:06:00Z</dcterms:created>
  <dc:creator>Administrator</dc:creator>
  <cp:lastModifiedBy>高玉德</cp:lastModifiedBy>
  <cp:lastPrinted>2023-10-10T03:31:00Z</cp:lastPrinted>
  <dcterms:modified xsi:type="dcterms:W3CDTF">2023-11-07T08:18:22Z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9D29605D62B048BF949D614F9D977A9A</vt:lpwstr>
  </property>
</Properties>
</file>