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eastAsia="zh-CN"/>
        </w:rPr>
        <w:t>南头镇黄达勋工业项目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val="en-US" w:eastAsia="zh-CN"/>
        </w:rPr>
        <w:t>低效工业用地改造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根据现行控制性详细规划，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南头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镇人民政府拟对位于中山市南头镇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民安村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的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黄达勋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低效工业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用地进行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再改造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，由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黄达勋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自主改造，采取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全面改造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的改造方式。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再改造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一、地块基本情况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改造地块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位于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南头镇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民安村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，北至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道路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，西至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空地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，东至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道路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，南至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厂房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，用地面积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0.5293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5293.29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7.94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spacing w:val="-6"/>
          <w:kern w:val="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" w:hAnsi="楷体" w:eastAsia="楷体" w:cs="楷体"/>
          <w:spacing w:val="-6"/>
          <w:kern w:val="2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eastAsia" w:ascii="楷体" w:hAnsi="楷体" w:eastAsia="楷体" w:cs="楷体"/>
          <w:spacing w:val="-6"/>
          <w:kern w:val="2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楷体" w:hAnsi="楷体" w:eastAsia="楷体" w:cs="楷体"/>
          <w:spacing w:val="-6"/>
          <w:kern w:val="2"/>
          <w:sz w:val="32"/>
          <w:szCs w:val="32"/>
          <w:highlight w:val="none"/>
          <w:u w:val="none"/>
          <w:lang w:val="en-US" w:eastAsia="zh-CN"/>
        </w:rPr>
        <w:t>标图入库情况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因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土地利用总体规划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不符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,不能纳入省标图入库范围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改造范围内全部属国有建设用地，土地用途为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工业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，改造涉及的土地已经确权、登记，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不动产权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证号为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中府国用（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2012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）第易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0200004号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，自20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年开始使用。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改造地块现有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栋建筑物，自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1998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月开始使用。现有建筑面积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平方米，其中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建筑未办理规划报建手续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，现状容积率0.58，作工业用途所用。该地块目前已拆除现状建筑物，改造前年产值约为850万元（107.05万元/亩），年税收约为34万元（4.28万元/亩）。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经研究，认定属于低效工业用地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主体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地块闲置情况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：经核查，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地块符合《中山市旧厂房改造升级实施细则（修订）》（中府〔2023〕58 号）第二十二条规定“对2009年12月31日前已建设，地上建筑物（构筑物）基底面积达到用地面积三分之一以上并使用至今的“工改工”、“工改公服”用地，申请实施改造的，改造方案经市级会议集体审议或镇街党政领导班子集体审议通过后，视为非闲置土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”规定，改造地块拟于改造方案经南头镇政府党政领导班子集体审议通过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eastAsia="zh-CN"/>
        </w:rPr>
        <w:t>后办理闲置放行手续。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val="en-US" w:eastAsia="zh-CN"/>
        </w:rPr>
        <w:t>改造主体地块不涉及查封、抵押、历史文化资源要素、土壤环境潜在监管地块等情况。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</w:rPr>
        <w:t>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改造地块已纳入《中山市城市更新（‘三旧’改造）专项规划（2020-2035）》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/>
        </w:rPr>
        <w:t>,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符合控制性详细规划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、国土空间规划，不符合土地利用总体规划。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其中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，在土地利用总体规划中，属非建设用地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0.4455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4455.46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6.68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，属建设用地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0.0838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837.83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1.26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；在国土空间规划中，属建设用地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0.5293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5293.29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7.94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在《南头镇升辉北路以西用地控制性详细规划调整》（中府函〔2015〕95号）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及《中山市南头镇工业用地规划条件论证报告》中府函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〔20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〕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317号）中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一类工业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0.5249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公顷（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5249.14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7.87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规划容积率为1.0-3.5，建筑密度35-60%，绿地率10-15%，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生产性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建筑高度≤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0米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（特殊工艺除外）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农林用地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0.0044公顷（44.15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eastAsia="zh-CN"/>
        </w:rPr>
        <w:t>，折合约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  <w:lang w:val="en-US" w:eastAsia="zh-CN"/>
        </w:rPr>
        <w:t>0.07亩）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改造地块位于“三区三线”城镇改造边界内，不涉及永久基本农田、生态保护红线等管控要求。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改造范围涉及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黄达勋1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个权利主体，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南头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镇人民政府已按照法律法规，就改造范围、土地现状、改造主体及拟改造情况等事项征询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改造意愿，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改造主体同意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三、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根据有关规划要求，改造项目严格按照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国土空间总体规划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、控制性详细规划管控要求实施建设。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改造项目拟采取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土地产权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人自主改造方式，由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黄达勋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作为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主体，实施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全面改造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。改造后将用于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</w:rPr>
        <w:t>生产智能化家电及家电配套产品、电子信息科技、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u w:val="none"/>
          <w:lang w:val="en-US" w:eastAsia="zh-CN"/>
        </w:rPr>
        <w:t>网络电商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u w:val="none"/>
        </w:rPr>
        <w:t>等产品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在符合详细规划的基础上，容积率不小于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2.1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，总建筑面积不小于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11326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平方米（含不计容建筑面积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平方米），其中新建建筑面积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11326平方米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不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保留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原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建筑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项目相关情况符合国家《产业结构调整指导目录》、《中山市“三线一单”生态环境分区管控方案》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、《中山市涉挥发性有机物项目环保管理规定》</w:t>
      </w:r>
      <w:r>
        <w:rPr>
          <w:rFonts w:hint="eastAsia" w:ascii="仿宋_GB2312" w:hAnsi="仿宋_GB2312" w:eastAsia="仿宋_GB2312" w:cs="仿宋_GB2312"/>
          <w:i w:val="0"/>
          <w:iCs w:val="0"/>
          <w:spacing w:val="-6"/>
          <w:kern w:val="0"/>
          <w:sz w:val="32"/>
          <w:szCs w:val="32"/>
          <w:highlight w:val="none"/>
          <w:u w:val="none"/>
        </w:rPr>
        <w:t>。改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造后年产值将达到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1400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176.32万元/亩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13.85万元/亩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资金筹措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主体拟投入资金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2400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万元，其中自有资金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1400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，银行借贷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1000万元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项目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周期为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年，拟分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期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动工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时间为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月，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竣工时间为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2025年3月，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拟投入资金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2400万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元，拟建建筑面积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11326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平方米（含不计容建筑面积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平方米），主要实施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工业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厂房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六、实施监管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atLeas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详见项目实施监管协议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343B4673"/>
    <w:rsid w:val="00EB52EF"/>
    <w:rsid w:val="011239E3"/>
    <w:rsid w:val="06322943"/>
    <w:rsid w:val="0BD12C50"/>
    <w:rsid w:val="15D05C79"/>
    <w:rsid w:val="16924244"/>
    <w:rsid w:val="190B7F51"/>
    <w:rsid w:val="1E2E187F"/>
    <w:rsid w:val="259A1BE5"/>
    <w:rsid w:val="2C3C42A1"/>
    <w:rsid w:val="2D1E2658"/>
    <w:rsid w:val="343B4673"/>
    <w:rsid w:val="3EE73849"/>
    <w:rsid w:val="44A044D2"/>
    <w:rsid w:val="559D53F0"/>
    <w:rsid w:val="58067171"/>
    <w:rsid w:val="581945EB"/>
    <w:rsid w:val="5BF4056C"/>
    <w:rsid w:val="614769D2"/>
    <w:rsid w:val="66233E6D"/>
    <w:rsid w:val="683F6790"/>
    <w:rsid w:val="68E5584F"/>
    <w:rsid w:val="68EA69BA"/>
    <w:rsid w:val="69FD431C"/>
    <w:rsid w:val="6E37669E"/>
    <w:rsid w:val="6F1019EE"/>
    <w:rsid w:val="71FC0FF9"/>
    <w:rsid w:val="73650AE4"/>
    <w:rsid w:val="7B660977"/>
    <w:rsid w:val="7E0827E7"/>
    <w:rsid w:val="ABFCB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/>
      <w:ind w:left="0" w:right="0"/>
      <w:jc w:val="center"/>
      <w:outlineLvl w:val="0"/>
    </w:pPr>
    <w:rPr>
      <w:rFonts w:hint="eastAsia" w:ascii="宋体" w:hAnsi="宋体" w:eastAsia="黑体" w:cs="宋体"/>
      <w:kern w:val="44"/>
      <w:sz w:val="36"/>
      <w:szCs w:val="15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4">
    <w:name w:val="Body Text"/>
    <w:basedOn w:val="1"/>
    <w:next w:val="5"/>
    <w:unhideWhenUsed/>
    <w:qFormat/>
    <w:uiPriority w:val="99"/>
    <w:rPr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4</Pages>
  <Words>1361</Words>
  <Characters>1514</Characters>
  <Lines>0</Lines>
  <Paragraphs>0</Paragraphs>
  <TotalTime>30</TotalTime>
  <ScaleCrop>false</ScaleCrop>
  <LinksUpToDate>false</LinksUpToDate>
  <CharactersWithSpaces>1514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2023-02-14T09:22:00Z</dcterms:created>
  <dc:creator>冯妍</dc:creator>
  <cp:lastModifiedBy>高玉德</cp:lastModifiedBy>
  <cp:lastPrinted>2023-03-03T10:49:00Z</cp:lastPrinted>
  <dcterms:modified xsi:type="dcterms:W3CDTF">2023-11-11T07:00:02Z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41A855C613494F33A02035B9A8C80851_13</vt:lpwstr>
  </property>
</Properties>
</file>