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中山国泰染整有限公司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891915" cy="2566035"/>
            <wp:effectExtent l="0" t="0" r="13335" b="5715"/>
            <wp:docPr id="1" name="图片 1" descr="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中山国泰染整有限公司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中府国用（2012）第0400392号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中山国泰染整有限公司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中山市三角镇三角村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18568.70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码：B-2-03-27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、B-2-03-29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工业，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0.8-2.5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15%-20%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50米，配套要求：10kV开关站1个，建筑面积不小于40平方米。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B-2-03-27、B-2-03-29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97111C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2023-10-16T03:15:40Z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63ADDDD693C341C380C5373FBE161BD4</vt:lpwstr>
  </property>
</Properties>
</file>