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港口镇中山市华伟实业有限公司“工改工”宗地项目“三旧”改造方案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kern w:val="2"/>
          <w:sz w:val="44"/>
          <w:szCs w:val="44"/>
          <w:highlight w:val="none"/>
          <w:lang w:val="en-US" w:eastAsia="zh-CN" w:bidi="ar-SA"/>
        </w:rPr>
        <w:t>批复结果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default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default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>港口镇中山市华伟实业有限公司“工改工”宗地项目“三旧”改造方案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highlight w:val="none"/>
          <w:lang w:val="en-US" w:eastAsia="zh-CN"/>
        </w:rPr>
        <w:t>进行公告，具体如下：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  <w:bookmarkStart w:id="1" w:name="_GoBack"/>
      <w:bookmarkEnd w:id="1"/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230"/>
        <w:gridCol w:w="2145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中府函〔2023〕</w:t>
            </w:r>
            <w:r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189</w:t>
            </w: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97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港口镇中山市华伟实业有限公司“工改工”宗地项目“三旧”改造项目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项目位置</w:t>
            </w:r>
          </w:p>
        </w:tc>
        <w:tc>
          <w:tcPr>
            <w:tcW w:w="397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位于港口镇木河迳东路以北，北至新胜三街，南至木河迳东路，西至华师路，东至三角快线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项目用地面积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212298.80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212298.80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所在控规名称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中山市港口镇木河迳二期控制性详细规划（2021）A3-01、B1-02 等局部地块规划条件论证报告》（中府函〔2022〕135号）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44200066540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highlight w:val="none"/>
                <w:lang w:val="en-US" w:eastAsia="zh-CN"/>
              </w:rPr>
              <w:t>、44200066541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自主改造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97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中山市华伟实业有限公司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2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614133.80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/>
              </w:rPr>
              <w:t>不小于2.9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1B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0" w:lineRule="atLeast"/>
      <w:jc w:val="both"/>
    </w:pPr>
    <w:rPr>
      <w:rFonts w:ascii="Calibri" w:hAnsi="Calibri" w:eastAsia="小标宋" w:cs="Times New Roman"/>
      <w:kern w:val="2"/>
      <w:sz w:val="44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2023-09-26T06:47:00Z</dcterms:created>
  <dc:creator>黄文童</dc:creator>
  <cp:lastModifiedBy>黄文童</cp:lastModifiedBy>
  <dcterms:modified xsi:type="dcterms:W3CDTF">2023-09-26T09:31:36Z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18CB0EE6141C45EEA8C9669CC72999C9</vt:lpwstr>
  </property>
</Properties>
</file>