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港口镇谷盛环保家居产业园低效工业用地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“工改工”项目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/>
        </w:rPr>
        <w:t>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方案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根据现行控制性详细规划，港口镇人民政府拟对位于港口镇沙港东路2号之三的中山市美盈家具有限公司低效工业用地进行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，由中山市美盈家具有限公司进行自主改造，采取全面改造的改造方式。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一、地块基本情况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位于港口镇沙港东路2号之三，北至沙港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路，南至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群乐社区民居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，东至余庆二路，西至中山市盛丰工艺家具有限公司，用地面积2.2512公顷（22511.64平方米，折合约33.77亩）。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</w:rPr>
        <w:t>（二）权属情况</w:t>
      </w:r>
    </w:p>
    <w:p>
      <w:pPr>
        <w:spacing w:line="574" w:lineRule="exact"/>
        <w:ind w:firstLine="592"/>
        <w:rPr>
          <w:rFonts w:hint="default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改造地块属国有建设用地，土地用途为工业，改造涉及的土地已经确权、登记，不动产权证号为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粤（2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023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）中山市不动产权第0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094933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，为土地产权人中山市美盈家具有限公司自2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006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月开始使用。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改造地块2015年因沙港公路改建征用195.9平方米的用地，正在办理收回部分国有土地使用权手续，实际改造面积2.2316公顷（22315.74平方米，折合约33.47亩）。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</w:rPr>
        <w:t>（三）土地利用现状情况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改造范围内现有2栋建筑物，为中山市美盈家具有限公司自2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007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年6月开始使用。现有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临时厂房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建筑面积5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525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平方米，现状容积率0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.2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，作工业厂房所用。该地块目前已拆除建筑面积0平方米，改造前年产值为1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29.88万元/亩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，年税收为3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0.90万元/亩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。根据《关于印发中山市工业用地综合评价方案的通知》（中山工改办发〔2023〕7号）及《关于促进2010 年后实施建设等情形的低效工业用地改造支持政策的补充通知》（中山自然资函〔2023〕792 号），该项目因最新的土地利用现状图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部分用地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认定为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建设用地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且2009年上盖物基底面积占地块面积比例不足30%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，不能纳入省标图入库范围，经研究，认定改造地块属于低效工业用地。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改造地块不涉及土壤环境潜在监管地块、闲置及历史文化资源要素等情况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。已抵押给交通银行股份有限公司中山分行，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待办理用地分割手续后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取得抵押权人同意改造。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</w:rPr>
        <w:t>（四）规划情况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改造地块符合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国土空间规划（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土地利用总体规划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）和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控制性详细规划。其中，在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国土空间规划（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土地利用总体规划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中，属城镇建设用地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.2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22315.74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平方米，折合约3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；在《中山市港口镇大丰工业区京珠高速以西片区控制性详细规划（2018）沙港路细化维护成果》（中府函〔2022〕338 号）中，一类工业用地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2.1872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21872.14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32.81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亩），规划容积率1.0-3.5，建筑密度35%-60%，绿地率10%-15%，生产性建筑高度≤50米（特殊工艺除外），配套设施建筑高度≤100米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;防护绿地0.0211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211.13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0.32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道路用地0.0232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232.47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0.35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改造地块位于城镇开发边界内，不涉及永久基本农田、生态保护红线等管控要求。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二、改造意愿情况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改造范围涉及中山市美盈家具有限公司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个权利主体，港口镇人民政府已按照法律法规，就改造范围、土地现状、开发主体及拟改造情况等事项征询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改造意愿，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三、开发主体及拟改造情况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土地利用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控制性详细规划管控要求实施建设。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在详细规划中属道路和绿地等公益性用地部分，日后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港口镇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政府需按规划开发建设时，应无偿将用地交给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港口镇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政府使用。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改造项目拟采取土地产权人自主改造方式，由中山市美盈家具有限公司作为开发主体，实施全面改造。改造后将用于智能家居、智能家电配套生产、五金制造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，在符合详细规划的基础上，容积率不小于3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.0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，总建筑面积不小于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66947.22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平方米，不保留原有建筑物。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项目相关情况符合国家《产业结构调整指导目录》及《中山市“三线一单”生态环境分区管控方案（2023版）》《中山市涉挥发性有机物项目环保管理规定》。改造后年产值将达到1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061.5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450万元/亩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，年税收将达到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334.7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10万元/亩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资金筹措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开发主体拟投入资金2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1000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万元，其中自有资金6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300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万元，银行借贷1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4700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万元等。</w:t>
      </w:r>
    </w:p>
    <w:p>
      <w:pPr>
        <w:spacing w:line="574" w:lineRule="exact"/>
        <w:ind w:firstLine="616" w:firstLineChars="200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  <w:lang w:val="en-US" w:eastAsia="zh-CN"/>
        </w:rPr>
        <w:t>五、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开发时序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项目开发周期为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年，拟分2期开发。一期开发时间为2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023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至2025年12月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，拟投入资金1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1000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万元，拟建建筑面积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345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平方米；二期开发时间为2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02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年1月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至2027年12月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，拟投入资金1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0000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万元，拟建建筑面积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32447.22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平方米。</w:t>
      </w:r>
    </w:p>
    <w:p>
      <w:pPr>
        <w:spacing w:line="574" w:lineRule="exact"/>
        <w:ind w:firstLine="616" w:firstLineChars="200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、实施监管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详见港口镇人民政府与改造主体签订的项目实施监管协议。</w:t>
      </w:r>
    </w:p>
    <w:p>
      <w:pPr>
        <w:spacing w:line="574" w:lineRule="exact"/>
        <w:rPr>
          <w:u w:val="none"/>
        </w:rPr>
      </w:pPr>
    </w:p>
    <w:p>
      <w:pPr>
        <w:rPr>
          <w:u w:val="none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4673"/>
    <w:rsid w:val="003E2343"/>
    <w:rsid w:val="007806E8"/>
    <w:rsid w:val="00841370"/>
    <w:rsid w:val="00960ABE"/>
    <w:rsid w:val="009C6726"/>
    <w:rsid w:val="00E23338"/>
    <w:rsid w:val="062E2364"/>
    <w:rsid w:val="06322943"/>
    <w:rsid w:val="08847D87"/>
    <w:rsid w:val="1281034D"/>
    <w:rsid w:val="15D05C79"/>
    <w:rsid w:val="1B7B5BD7"/>
    <w:rsid w:val="1E2E187F"/>
    <w:rsid w:val="20C873B0"/>
    <w:rsid w:val="24F544D8"/>
    <w:rsid w:val="326225B7"/>
    <w:rsid w:val="343B4673"/>
    <w:rsid w:val="3F266AA8"/>
    <w:rsid w:val="44BA73CE"/>
    <w:rsid w:val="466A67D2"/>
    <w:rsid w:val="48056B6D"/>
    <w:rsid w:val="4B2A1C61"/>
    <w:rsid w:val="4D405AC9"/>
    <w:rsid w:val="502D50C3"/>
    <w:rsid w:val="518C3EDA"/>
    <w:rsid w:val="53AB1911"/>
    <w:rsid w:val="559D53F0"/>
    <w:rsid w:val="57A97BBB"/>
    <w:rsid w:val="5DEF6232"/>
    <w:rsid w:val="6D565D6F"/>
    <w:rsid w:val="6F1019EE"/>
    <w:rsid w:val="74846437"/>
    <w:rsid w:val="7A11471E"/>
    <w:rsid w:val="7E0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黑体" w:cs="Times New Roman"/>
      <w:kern w:val="44"/>
      <w:sz w:val="36"/>
      <w:szCs w:val="15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sz w:val="44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244</Words>
  <Characters>1391</Characters>
  <Lines>11</Lines>
  <Paragraphs>3</Paragraphs>
  <TotalTime>0</TotalTime>
  <ScaleCrop>false</ScaleCrop>
  <LinksUpToDate>false</LinksUpToDate>
  <CharactersWithSpaces>1632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唐聪</cp:lastModifiedBy>
  <cp:lastPrinted>2023-03-03T02:49:00Z</cp:lastPrinted>
  <dcterms:modified xsi:type="dcterms:W3CDTF">2023-09-26T04:18:25Z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E182EDF563354568850E753C4F6EE967</vt:lpwstr>
  </property>
</Properties>
</file>