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）中山市不动产权第0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138035</w:t>
      </w:r>
      <w:r>
        <w:rPr>
          <w:rFonts w:hint="eastAsia" w:ascii="仿宋" w:hAnsi="仿宋" w:eastAsia="仿宋" w:cs="仿宋"/>
          <w:sz w:val="30"/>
          <w:szCs w:val="30"/>
        </w:rPr>
        <w:t>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26080" cy="2559685"/>
            <wp:effectExtent l="0" t="0" r="7620" b="12065"/>
            <wp:docPr id="2" name="图片 2" descr="控规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吴炎珍用地图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该宗地位于中山市南朗街道横门海富中路123号，不动产权证号为粤（202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）中山市不动产权第0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138035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142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吴炎珍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该用地位于《中山市南朗横门片区控制性详细规划（2021）》，为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二类居住用地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徐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3009B"/>
    <w:rsid w:val="2C8E0608"/>
    <w:rsid w:val="3413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2023-08-31T09:30:00Z</dcterms:created>
  <dc:creator>曹宇晟</dc:creator>
  <cp:lastModifiedBy>曹宇晟</cp:lastModifiedBy>
  <dcterms:modified xsi:type="dcterms:W3CDTF">2023-09-19T14:02:21Z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