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both"/>
        <w:textAlignment w:val="auto"/>
        <w:rPr>
          <w:rFonts w:hint="eastAsia" w:ascii="黑体" w:hAnsi="黑体" w:eastAsia="黑体" w:cs="黑体"/>
          <w:spacing w:val="-6"/>
          <w:sz w:val="32"/>
          <w:szCs w:val="32"/>
          <w:u w:val="none"/>
          <w:lang w:val="en-US" w:eastAsia="zh-CN"/>
        </w:rPr>
      </w:pPr>
      <w:r>
        <w:rPr>
          <w:rFonts w:hint="eastAsia" w:ascii="黑体" w:hAnsi="黑体" w:eastAsia="黑体" w:cs="黑体"/>
          <w:spacing w:val="-6"/>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板芙镇白溪村经济联合社“工改工”宗地项目</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sz w:val="44"/>
          <w:szCs w:val="44"/>
          <w:lang w:val="en-US" w:eastAsia="zh-CN"/>
        </w:rPr>
        <w:t>“三旧”改造</w:t>
      </w:r>
      <w:r>
        <w:rPr>
          <w:rFonts w:hint="eastAsia" w:ascii="方正小标宋简体" w:hAnsi="方正小标宋简体" w:eastAsia="方正小标宋简体" w:cs="方正小标宋简体"/>
          <w:spacing w:val="-6"/>
          <w:sz w:val="44"/>
          <w:szCs w:val="44"/>
        </w:rPr>
        <w:t>方案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根据中山市城市更新(“三旧”改造)专项规划</w:t>
      </w:r>
      <w:r>
        <w:rPr>
          <w:rFonts w:hint="eastAsia" w:ascii="仿宋_GB2312" w:hAnsi="仿宋_GB2312" w:eastAsia="仿宋_GB2312" w:cs="仿宋_GB2312"/>
          <w:spacing w:val="-6"/>
          <w:kern w:val="0"/>
          <w:sz w:val="32"/>
          <w:szCs w:val="32"/>
          <w:lang w:eastAsia="zh-CN"/>
        </w:rPr>
        <w:t>、《中山市板芙镇工业用地规划条件论证报告》（中府函〔2022〕237 号）</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lang w:eastAsia="zh-CN"/>
        </w:rPr>
        <w:t>板芙</w:t>
      </w:r>
      <w:r>
        <w:rPr>
          <w:rFonts w:hint="eastAsia" w:ascii="仿宋_GB2312" w:hAnsi="仿宋_GB2312" w:eastAsia="仿宋_GB2312" w:cs="仿宋_GB2312"/>
          <w:spacing w:val="-6"/>
          <w:kern w:val="0"/>
          <w:sz w:val="32"/>
          <w:szCs w:val="32"/>
        </w:rPr>
        <w:t>镇人民政府拟对位于</w:t>
      </w:r>
      <w:r>
        <w:rPr>
          <w:rFonts w:hint="eastAsia" w:ascii="仿宋_GB2312" w:hAnsi="仿宋_GB2312" w:eastAsia="仿宋_GB2312" w:cs="仿宋_GB2312"/>
          <w:spacing w:val="-6"/>
          <w:kern w:val="0"/>
          <w:sz w:val="32"/>
          <w:szCs w:val="32"/>
          <w:lang w:val="en-US" w:eastAsia="zh-CN"/>
        </w:rPr>
        <w:t>深湾村的中山市</w:t>
      </w:r>
      <w:r>
        <w:rPr>
          <w:rFonts w:hint="eastAsia" w:ascii="仿宋_GB2312" w:hAnsi="仿宋_GB2312" w:eastAsia="仿宋_GB2312" w:cs="仿宋_GB2312"/>
          <w:spacing w:val="-6"/>
          <w:kern w:val="0"/>
          <w:sz w:val="32"/>
          <w:szCs w:val="32"/>
          <w:lang w:eastAsia="zh-CN"/>
        </w:rPr>
        <w:t>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w:t>
      </w:r>
      <w:r>
        <w:rPr>
          <w:rFonts w:hint="eastAsia" w:ascii="仿宋_GB2312" w:hAnsi="仿宋_GB2312" w:eastAsia="仿宋_GB2312" w:cs="仿宋_GB2312"/>
          <w:spacing w:val="-6"/>
          <w:kern w:val="0"/>
          <w:sz w:val="32"/>
          <w:szCs w:val="32"/>
          <w:lang w:eastAsia="zh-CN"/>
        </w:rPr>
        <w:t>社</w:t>
      </w:r>
      <w:r>
        <w:rPr>
          <w:rFonts w:hint="eastAsia" w:ascii="仿宋_GB2312" w:hAnsi="仿宋_GB2312" w:eastAsia="仿宋_GB2312" w:cs="仿宋_GB2312"/>
          <w:spacing w:val="-6"/>
          <w:kern w:val="0"/>
          <w:sz w:val="32"/>
          <w:szCs w:val="32"/>
          <w:lang w:val="en-US" w:eastAsia="zh-CN"/>
        </w:rPr>
        <w:t>旧厂房用地</w:t>
      </w:r>
      <w:r>
        <w:rPr>
          <w:rFonts w:hint="eastAsia" w:ascii="仿宋_GB2312" w:hAnsi="仿宋_GB2312" w:eastAsia="仿宋_GB2312" w:cs="仿宋_GB2312"/>
          <w:spacing w:val="-6"/>
          <w:kern w:val="0"/>
          <w:sz w:val="32"/>
          <w:szCs w:val="32"/>
        </w:rPr>
        <w:t>进行</w:t>
      </w:r>
      <w:r>
        <w:rPr>
          <w:rFonts w:hint="eastAsia" w:ascii="仿宋_GB2312" w:hAnsi="仿宋_GB2312" w:eastAsia="仿宋_GB2312" w:cs="仿宋_GB2312"/>
          <w:spacing w:val="-6"/>
          <w:kern w:val="0"/>
          <w:sz w:val="32"/>
          <w:szCs w:val="32"/>
          <w:lang w:val="en-US" w:eastAsia="zh-CN"/>
        </w:rPr>
        <w:t>改造</w:t>
      </w:r>
      <w:r>
        <w:rPr>
          <w:rFonts w:hint="eastAsia" w:ascii="仿宋_GB2312" w:hAnsi="仿宋_GB2312" w:eastAsia="仿宋_GB2312" w:cs="仿宋_GB2312"/>
          <w:spacing w:val="-6"/>
          <w:kern w:val="0"/>
          <w:sz w:val="32"/>
          <w:szCs w:val="32"/>
        </w:rPr>
        <w:t>，由</w:t>
      </w:r>
      <w:r>
        <w:rPr>
          <w:rFonts w:hint="eastAsia" w:ascii="仿宋_GB2312" w:hAnsi="仿宋_GB2312" w:eastAsia="仿宋_GB2312" w:cs="仿宋_GB2312"/>
          <w:spacing w:val="-6"/>
          <w:kern w:val="0"/>
          <w:sz w:val="32"/>
          <w:szCs w:val="32"/>
          <w:lang w:val="en-US" w:eastAsia="zh-CN"/>
        </w:rPr>
        <w:t>政府整备（收储）改造</w:t>
      </w:r>
      <w:r>
        <w:rPr>
          <w:rFonts w:hint="eastAsia" w:ascii="仿宋_GB2312" w:hAnsi="仿宋_GB2312" w:eastAsia="仿宋_GB2312" w:cs="仿宋_GB2312"/>
          <w:spacing w:val="-6"/>
          <w:kern w:val="0"/>
          <w:sz w:val="32"/>
          <w:szCs w:val="32"/>
        </w:rPr>
        <w:t>，采取全面改造的改造方式。</w:t>
      </w:r>
      <w:r>
        <w:rPr>
          <w:rFonts w:hint="eastAsia" w:ascii="仿宋_GB2312" w:hAnsi="仿宋_GB2312" w:eastAsia="仿宋_GB2312" w:cs="仿宋_GB2312"/>
          <w:spacing w:val="-6"/>
          <w:kern w:val="0"/>
          <w:sz w:val="32"/>
          <w:szCs w:val="32"/>
          <w:lang w:val="en-US" w:eastAsia="zh-CN"/>
        </w:rPr>
        <w:t>改造</w:t>
      </w:r>
      <w:r>
        <w:rPr>
          <w:rFonts w:hint="eastAsia" w:ascii="仿宋_GB2312" w:hAnsi="仿宋_GB2312" w:eastAsia="仿宋_GB2312" w:cs="仿宋_GB2312"/>
          <w:spacing w:val="-6"/>
          <w:kern w:val="0"/>
          <w:sz w:val="32"/>
          <w:szCs w:val="32"/>
        </w:rPr>
        <w:t>方案如下：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一、</w:t>
      </w:r>
      <w:r>
        <w:rPr>
          <w:rFonts w:hint="eastAsia" w:ascii="黑体" w:hAnsi="黑体" w:eastAsia="黑体" w:cs="黑体"/>
          <w:spacing w:val="-6"/>
          <w:kern w:val="0"/>
          <w:sz w:val="32"/>
          <w:szCs w:val="32"/>
          <w:lang w:val="en-US" w:eastAsia="zh-CN"/>
        </w:rPr>
        <w:t>改造</w:t>
      </w:r>
      <w:r>
        <w:rPr>
          <w:rFonts w:hint="eastAsia" w:ascii="黑体" w:hAnsi="黑体" w:eastAsia="黑体" w:cs="黑体"/>
          <w:spacing w:val="-6"/>
          <w:kern w:val="0"/>
          <w:sz w:val="32"/>
          <w:szCs w:val="32"/>
        </w:rPr>
        <w:t>地块基本情况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lang w:eastAsia="zh-CN"/>
        </w:rPr>
      </w:pPr>
      <w:r>
        <w:rPr>
          <w:rFonts w:hint="eastAsia" w:ascii="楷体" w:hAnsi="楷体" w:eastAsia="楷体" w:cs="楷体"/>
          <w:spacing w:val="-6"/>
          <w:sz w:val="32"/>
          <w:szCs w:val="32"/>
        </w:rPr>
        <w:t>（一）总体情况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改造</w:t>
      </w:r>
      <w:r>
        <w:rPr>
          <w:rFonts w:hint="eastAsia" w:ascii="仿宋_GB2312" w:hAnsi="仿宋_GB2312" w:eastAsia="仿宋_GB2312" w:cs="仿宋_GB2312"/>
          <w:spacing w:val="-6"/>
          <w:sz w:val="32"/>
          <w:szCs w:val="32"/>
        </w:rPr>
        <w:t>地块位于</w:t>
      </w:r>
      <w:r>
        <w:rPr>
          <w:rFonts w:hint="eastAsia" w:ascii="仿宋_GB2312" w:hAnsi="仿宋_GB2312" w:eastAsia="仿宋_GB2312" w:cs="仿宋_GB2312"/>
          <w:spacing w:val="-6"/>
          <w:sz w:val="32"/>
          <w:szCs w:val="32"/>
          <w:lang w:eastAsia="zh-CN"/>
        </w:rPr>
        <w:t>板芙镇</w:t>
      </w:r>
      <w:r>
        <w:rPr>
          <w:rFonts w:hint="eastAsia" w:ascii="仿宋_GB2312" w:hAnsi="仿宋_GB2312" w:eastAsia="仿宋_GB2312" w:cs="仿宋_GB2312"/>
          <w:spacing w:val="-6"/>
          <w:sz w:val="32"/>
          <w:szCs w:val="32"/>
          <w:lang w:val="en-US" w:eastAsia="zh-CN"/>
        </w:rPr>
        <w:t>深湾</w:t>
      </w:r>
      <w:r>
        <w:rPr>
          <w:rFonts w:hint="eastAsia" w:ascii="仿宋_GB2312" w:hAnsi="仿宋_GB2312" w:eastAsia="仿宋_GB2312" w:cs="仿宋_GB2312"/>
          <w:spacing w:val="-6"/>
          <w:sz w:val="32"/>
          <w:szCs w:val="32"/>
          <w:lang w:eastAsia="zh-CN"/>
        </w:rPr>
        <w:t>村，北至顺心路，南至中山市泓溢薄膜科技有限公司，西至洋紫荆油墨(中山)有限公司，东至宏景路，总用地面积</w:t>
      </w:r>
      <w:r>
        <w:rPr>
          <w:rFonts w:hint="eastAsia" w:ascii="仿宋_GB2312" w:hAnsi="仿宋_GB2312" w:eastAsia="仿宋_GB2312" w:cs="仿宋_GB2312"/>
          <w:spacing w:val="-6"/>
          <w:sz w:val="32"/>
          <w:szCs w:val="32"/>
          <w:lang w:val="en-US" w:eastAsia="zh-CN"/>
        </w:rPr>
        <w:t>4.00</w:t>
      </w:r>
      <w:r>
        <w:rPr>
          <w:rFonts w:hint="eastAsia" w:ascii="仿宋_GB2312" w:hAnsi="仿宋_GB2312" w:eastAsia="仿宋_GB2312" w:cs="仿宋_GB2312"/>
          <w:spacing w:val="-6"/>
          <w:sz w:val="32"/>
          <w:szCs w:val="32"/>
          <w:lang w:eastAsia="zh-CN"/>
        </w:rPr>
        <w:t>公顷（39966.</w:t>
      </w:r>
      <w:r>
        <w:rPr>
          <w:rFonts w:hint="eastAsia" w:ascii="仿宋_GB2312" w:hAnsi="仿宋_GB2312" w:eastAsia="仿宋_GB2312" w:cs="仿宋_GB2312"/>
          <w:spacing w:val="-6"/>
          <w:sz w:val="32"/>
          <w:szCs w:val="32"/>
          <w:lang w:val="en-US" w:eastAsia="zh-CN"/>
        </w:rPr>
        <w:t>66</w:t>
      </w:r>
      <w:r>
        <w:rPr>
          <w:rFonts w:hint="eastAsia" w:ascii="仿宋_GB2312" w:hAnsi="仿宋_GB2312" w:eastAsia="仿宋_GB2312" w:cs="仿宋_GB2312"/>
          <w:spacing w:val="-6"/>
          <w:sz w:val="32"/>
          <w:szCs w:val="32"/>
          <w:lang w:eastAsia="zh-CN"/>
        </w:rPr>
        <w:t>平方米，折合约59.9</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亩）</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lang w:eastAsia="zh-CN"/>
        </w:rPr>
      </w:pPr>
      <w:r>
        <w:rPr>
          <w:rFonts w:hint="eastAsia" w:ascii="楷体" w:hAnsi="楷体" w:eastAsia="楷体" w:cs="楷体"/>
          <w:spacing w:val="-6"/>
          <w:sz w:val="32"/>
          <w:szCs w:val="32"/>
          <w:lang w:eastAsia="zh-CN"/>
        </w:rPr>
        <w:t>（二）标图</w:t>
      </w:r>
      <w:r>
        <w:rPr>
          <w:rFonts w:hint="eastAsia" w:ascii="楷体" w:hAnsi="楷体" w:eastAsia="楷体" w:cs="楷体"/>
          <w:spacing w:val="-6"/>
          <w:sz w:val="32"/>
          <w:szCs w:val="32"/>
          <w:lang w:val="en-US" w:eastAsia="zh-CN"/>
        </w:rPr>
        <w:t>入库</w:t>
      </w:r>
      <w:r>
        <w:rPr>
          <w:rFonts w:hint="eastAsia" w:ascii="楷体" w:hAnsi="楷体" w:eastAsia="楷体" w:cs="楷体"/>
          <w:spacing w:val="-6"/>
          <w:sz w:val="32"/>
          <w:szCs w:val="32"/>
          <w:lang w:eastAsia="zh-CN"/>
        </w:rPr>
        <w:t>情况</w:t>
      </w:r>
    </w:p>
    <w:p>
      <w:pPr>
        <w:spacing w:before="93" w:beforeLines="30" w:line="580" w:lineRule="exact"/>
        <w:ind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kern w:val="0"/>
          <w:sz w:val="32"/>
          <w:szCs w:val="32"/>
          <w:highlight w:val="none"/>
          <w:u w:val="none"/>
          <w:shd w:val="clear" w:color="auto" w:fill="auto"/>
          <w:lang w:val="en-US" w:eastAsia="zh-CN"/>
        </w:rPr>
        <w:t>改造地块正在办理</w:t>
      </w:r>
      <w:r>
        <w:rPr>
          <w:rFonts w:hint="eastAsia" w:ascii="仿宋_GB2312" w:hAnsi="仿宋_GB2312" w:eastAsia="仿宋_GB2312" w:cs="仿宋_GB2312"/>
          <w:i w:val="0"/>
          <w:iCs w:val="0"/>
          <w:caps w:val="0"/>
          <w:spacing w:val="-6"/>
          <w:kern w:val="0"/>
          <w:sz w:val="32"/>
          <w:szCs w:val="32"/>
          <w:shd w:val="clear" w:color="auto" w:fill="auto"/>
          <w:lang w:val="en-US" w:eastAsia="zh-CN"/>
        </w:rPr>
        <w:t>标图入库</w:t>
      </w:r>
      <w:r>
        <w:rPr>
          <w:rFonts w:hint="eastAsia" w:ascii="仿宋_GB2312" w:hAnsi="仿宋_GB2312" w:eastAsia="仿宋_GB2312" w:cs="仿宋_GB2312"/>
          <w:i w:val="0"/>
          <w:iCs w:val="0"/>
          <w:caps w:val="0"/>
          <w:spacing w:val="-6"/>
          <w:kern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lang w:eastAsia="zh-CN"/>
        </w:rPr>
      </w:pPr>
      <w:r>
        <w:rPr>
          <w:rFonts w:hint="eastAsia" w:ascii="楷体" w:hAnsi="楷体" w:eastAsia="楷体" w:cs="楷体"/>
          <w:spacing w:val="-6"/>
          <w:sz w:val="32"/>
          <w:szCs w:val="32"/>
        </w:rPr>
        <w:t>（</w:t>
      </w:r>
      <w:r>
        <w:rPr>
          <w:rFonts w:hint="eastAsia" w:ascii="楷体" w:hAnsi="楷体" w:eastAsia="楷体" w:cs="楷体"/>
          <w:spacing w:val="-6"/>
          <w:sz w:val="32"/>
          <w:szCs w:val="32"/>
          <w:lang w:val="en-US" w:eastAsia="zh-CN"/>
        </w:rPr>
        <w:t>三</w:t>
      </w:r>
      <w:r>
        <w:rPr>
          <w:rFonts w:hint="eastAsia" w:ascii="楷体" w:hAnsi="楷体" w:eastAsia="楷体" w:cs="楷体"/>
          <w:spacing w:val="-6"/>
          <w:sz w:val="32"/>
          <w:szCs w:val="32"/>
        </w:rPr>
        <w:t>）权属情况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w:t>
      </w:r>
      <w:r>
        <w:rPr>
          <w:rFonts w:hint="eastAsia" w:ascii="仿宋_GB2312" w:hAnsi="仿宋_GB2312" w:eastAsia="仿宋_GB2312" w:cs="仿宋_GB2312"/>
          <w:spacing w:val="-6"/>
          <w:kern w:val="0"/>
          <w:sz w:val="32"/>
          <w:szCs w:val="32"/>
          <w:lang w:eastAsia="zh-CN"/>
        </w:rPr>
        <w:t>地块</w:t>
      </w:r>
      <w:r>
        <w:rPr>
          <w:rFonts w:hint="eastAsia" w:ascii="仿宋_GB2312" w:hAnsi="仿宋_GB2312" w:eastAsia="仿宋_GB2312" w:cs="仿宋_GB2312"/>
          <w:spacing w:val="-6"/>
          <w:kern w:val="0"/>
          <w:sz w:val="32"/>
          <w:szCs w:val="32"/>
        </w:rPr>
        <w:t>属国有建设用地，土地用途为工业，改造涉及的土地已经确权、登记，土地证号为</w:t>
      </w:r>
      <w:r>
        <w:rPr>
          <w:rFonts w:hint="eastAsia" w:ascii="仿宋_GB2312" w:hAnsi="仿宋_GB2312" w:eastAsia="仿宋_GB2312" w:cs="仿宋_GB2312"/>
          <w:spacing w:val="-6"/>
          <w:kern w:val="0"/>
          <w:sz w:val="32"/>
          <w:szCs w:val="32"/>
          <w:lang w:val="en-US" w:eastAsia="zh-CN"/>
        </w:rPr>
        <w:t>中府国用（2008）第300197号</w:t>
      </w:r>
      <w:r>
        <w:rPr>
          <w:rFonts w:hint="eastAsia" w:ascii="仿宋_GB2312" w:hAnsi="仿宋_GB2312" w:eastAsia="仿宋_GB2312" w:cs="仿宋_GB2312"/>
          <w:spacing w:val="-6"/>
          <w:kern w:val="0"/>
          <w:sz w:val="32"/>
          <w:szCs w:val="32"/>
        </w:rPr>
        <w:t>，为土地</w:t>
      </w:r>
      <w:r>
        <w:rPr>
          <w:rFonts w:hint="eastAsia" w:ascii="仿宋_GB2312" w:hAnsi="仿宋_GB2312" w:eastAsia="仿宋_GB2312" w:cs="仿宋_GB2312"/>
          <w:spacing w:val="-6"/>
          <w:kern w:val="0"/>
          <w:sz w:val="32"/>
          <w:szCs w:val="32"/>
          <w:lang w:val="en-US" w:eastAsia="zh-CN"/>
        </w:rPr>
        <w:t>产权</w:t>
      </w:r>
      <w:r>
        <w:rPr>
          <w:rFonts w:hint="eastAsia" w:ascii="仿宋_GB2312" w:hAnsi="仿宋_GB2312" w:eastAsia="仿宋_GB2312" w:cs="仿宋_GB2312"/>
          <w:spacing w:val="-6"/>
          <w:kern w:val="0"/>
          <w:sz w:val="32"/>
          <w:szCs w:val="32"/>
        </w:rPr>
        <w:t>人中山市板芙镇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w:t>
      </w:r>
      <w:r>
        <w:rPr>
          <w:rFonts w:hint="eastAsia" w:ascii="仿宋_GB2312" w:hAnsi="仿宋_GB2312" w:eastAsia="仿宋_GB2312" w:cs="仿宋_GB2312"/>
          <w:spacing w:val="-6"/>
          <w:kern w:val="0"/>
          <w:sz w:val="32"/>
          <w:szCs w:val="32"/>
          <w:lang w:eastAsia="zh-CN"/>
        </w:rPr>
        <w:t>社</w:t>
      </w:r>
      <w:r>
        <w:rPr>
          <w:rFonts w:hint="eastAsia" w:ascii="仿宋_GB2312" w:hAnsi="仿宋_GB2312" w:eastAsia="仿宋_GB2312" w:cs="仿宋_GB2312"/>
          <w:spacing w:val="-6"/>
          <w:kern w:val="0"/>
          <w:sz w:val="32"/>
          <w:szCs w:val="32"/>
        </w:rPr>
        <w:t>自</w:t>
      </w:r>
      <w:r>
        <w:rPr>
          <w:rFonts w:hint="eastAsia" w:ascii="仿宋_GB2312" w:hAnsi="仿宋_GB2312" w:eastAsia="仿宋_GB2312" w:cs="仿宋_GB2312"/>
          <w:spacing w:val="-6"/>
          <w:kern w:val="0"/>
          <w:sz w:val="32"/>
          <w:szCs w:val="32"/>
          <w:lang w:val="en-US" w:eastAsia="zh-CN"/>
        </w:rPr>
        <w:t>2009</w:t>
      </w:r>
      <w:r>
        <w:rPr>
          <w:rFonts w:hint="eastAsia" w:ascii="仿宋_GB2312" w:hAnsi="仿宋_GB2312" w:eastAsia="仿宋_GB2312" w:cs="仿宋_GB2312"/>
          <w:spacing w:val="-6"/>
          <w:kern w:val="0"/>
          <w:sz w:val="32"/>
          <w:szCs w:val="32"/>
        </w:rPr>
        <w:t>年</w:t>
      </w:r>
      <w:r>
        <w:rPr>
          <w:rFonts w:hint="eastAsia" w:ascii="仿宋_GB2312" w:hAnsi="仿宋_GB2312" w:eastAsia="仿宋_GB2312" w:cs="仿宋_GB2312"/>
          <w:spacing w:val="-6"/>
          <w:kern w:val="0"/>
          <w:sz w:val="32"/>
          <w:szCs w:val="32"/>
          <w:lang w:val="en-US" w:eastAsia="zh-CN"/>
        </w:rPr>
        <w:t>12</w:t>
      </w:r>
      <w:r>
        <w:rPr>
          <w:rFonts w:hint="eastAsia" w:ascii="仿宋_GB2312" w:hAnsi="仿宋_GB2312" w:eastAsia="仿宋_GB2312" w:cs="仿宋_GB2312"/>
          <w:spacing w:val="-6"/>
          <w:kern w:val="0"/>
          <w:sz w:val="32"/>
          <w:szCs w:val="32"/>
        </w:rPr>
        <w:t>月</w:t>
      </w:r>
      <w:r>
        <w:rPr>
          <w:rFonts w:hint="eastAsia" w:ascii="仿宋_GB2312" w:hAnsi="仿宋_GB2312" w:eastAsia="仿宋_GB2312" w:cs="仿宋_GB2312"/>
          <w:spacing w:val="-6"/>
          <w:kern w:val="0"/>
          <w:sz w:val="32"/>
          <w:szCs w:val="32"/>
          <w:lang w:val="en-US" w:eastAsia="zh-CN"/>
        </w:rPr>
        <w:t>底前</w:t>
      </w:r>
      <w:r>
        <w:rPr>
          <w:rFonts w:hint="eastAsia" w:ascii="仿宋_GB2312" w:hAnsi="仿宋_GB2312" w:eastAsia="仿宋_GB2312" w:cs="仿宋_GB2312"/>
          <w:spacing w:val="-6"/>
          <w:kern w:val="0"/>
          <w:sz w:val="32"/>
          <w:szCs w:val="32"/>
        </w:rPr>
        <w:t>开始使用。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lang w:eastAsia="zh-CN"/>
        </w:rPr>
      </w:pPr>
      <w:r>
        <w:rPr>
          <w:rFonts w:hint="eastAsia" w:ascii="楷体" w:hAnsi="楷体" w:eastAsia="楷体" w:cs="楷体"/>
          <w:spacing w:val="-6"/>
          <w:sz w:val="32"/>
          <w:szCs w:val="32"/>
        </w:rPr>
        <w:t>（</w:t>
      </w:r>
      <w:r>
        <w:rPr>
          <w:rFonts w:hint="eastAsia" w:ascii="楷体" w:hAnsi="楷体" w:eastAsia="楷体" w:cs="楷体"/>
          <w:spacing w:val="-6"/>
          <w:sz w:val="32"/>
          <w:szCs w:val="32"/>
          <w:lang w:val="en-US" w:eastAsia="zh-CN"/>
        </w:rPr>
        <w:t>四</w:t>
      </w:r>
      <w:r>
        <w:rPr>
          <w:rFonts w:hint="eastAsia" w:ascii="楷体" w:hAnsi="楷体" w:eastAsia="楷体" w:cs="楷体"/>
          <w:spacing w:val="-6"/>
          <w:sz w:val="32"/>
          <w:szCs w:val="32"/>
        </w:rPr>
        <w:t>）土地现状情况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w:t>
      </w:r>
      <w:r>
        <w:rPr>
          <w:rFonts w:hint="eastAsia" w:ascii="仿宋_GB2312" w:hAnsi="仿宋_GB2312" w:eastAsia="仿宋_GB2312" w:cs="仿宋_GB2312"/>
          <w:spacing w:val="-6"/>
          <w:kern w:val="0"/>
          <w:sz w:val="32"/>
          <w:szCs w:val="32"/>
          <w:lang w:eastAsia="zh-CN"/>
        </w:rPr>
        <w:t>范围内</w:t>
      </w:r>
      <w:r>
        <w:rPr>
          <w:rFonts w:hint="eastAsia" w:ascii="仿宋_GB2312" w:hAnsi="仿宋_GB2312" w:eastAsia="仿宋_GB2312" w:cs="仿宋_GB2312"/>
          <w:spacing w:val="-6"/>
          <w:kern w:val="0"/>
          <w:sz w:val="32"/>
          <w:szCs w:val="32"/>
        </w:rPr>
        <w:t>现有</w:t>
      </w:r>
      <w:r>
        <w:rPr>
          <w:rFonts w:hint="eastAsia" w:ascii="仿宋_GB2312" w:hAnsi="仿宋_GB2312" w:eastAsia="仿宋_GB2312" w:cs="仿宋_GB2312"/>
          <w:spacing w:val="-6"/>
          <w:kern w:val="0"/>
          <w:sz w:val="32"/>
          <w:szCs w:val="32"/>
          <w:lang w:val="en-US" w:eastAsia="zh-CN"/>
        </w:rPr>
        <w:t>7</w:t>
      </w:r>
      <w:r>
        <w:rPr>
          <w:rFonts w:hint="eastAsia" w:ascii="仿宋_GB2312" w:hAnsi="仿宋_GB2312" w:eastAsia="仿宋_GB2312" w:cs="仿宋_GB2312"/>
          <w:spacing w:val="-6"/>
          <w:kern w:val="0"/>
          <w:sz w:val="32"/>
          <w:szCs w:val="32"/>
        </w:rPr>
        <w:t>栋建筑物，为中山市板芙镇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w:t>
      </w:r>
      <w:r>
        <w:rPr>
          <w:rFonts w:hint="eastAsia" w:ascii="仿宋_GB2312" w:hAnsi="仿宋_GB2312" w:eastAsia="仿宋_GB2312" w:cs="仿宋_GB2312"/>
          <w:spacing w:val="-6"/>
          <w:kern w:val="0"/>
          <w:sz w:val="32"/>
          <w:szCs w:val="32"/>
          <w:lang w:eastAsia="zh-CN"/>
        </w:rPr>
        <w:t>社</w:t>
      </w:r>
      <w:r>
        <w:rPr>
          <w:rFonts w:hint="eastAsia" w:ascii="仿宋_GB2312" w:hAnsi="仿宋_GB2312" w:eastAsia="仿宋_GB2312" w:cs="仿宋_GB2312"/>
          <w:spacing w:val="-6"/>
          <w:kern w:val="0"/>
          <w:sz w:val="32"/>
          <w:szCs w:val="32"/>
        </w:rPr>
        <w:t>自</w:t>
      </w:r>
      <w:r>
        <w:rPr>
          <w:rFonts w:hint="eastAsia" w:ascii="仿宋_GB2312" w:hAnsi="仿宋_GB2312" w:eastAsia="仿宋_GB2312" w:cs="仿宋_GB2312"/>
          <w:spacing w:val="-6"/>
          <w:kern w:val="0"/>
          <w:sz w:val="32"/>
          <w:szCs w:val="32"/>
          <w:lang w:val="en-US" w:eastAsia="zh-CN"/>
        </w:rPr>
        <w:t>2009</w:t>
      </w:r>
      <w:r>
        <w:rPr>
          <w:rFonts w:hint="eastAsia" w:ascii="仿宋_GB2312" w:hAnsi="仿宋_GB2312" w:eastAsia="仿宋_GB2312" w:cs="仿宋_GB2312"/>
          <w:spacing w:val="-6"/>
          <w:kern w:val="0"/>
          <w:sz w:val="32"/>
          <w:szCs w:val="32"/>
        </w:rPr>
        <w:t>年</w:t>
      </w:r>
      <w:r>
        <w:rPr>
          <w:rFonts w:hint="eastAsia" w:ascii="仿宋_GB2312" w:hAnsi="仿宋_GB2312" w:eastAsia="仿宋_GB2312" w:cs="仿宋_GB2312"/>
          <w:spacing w:val="-6"/>
          <w:kern w:val="0"/>
          <w:sz w:val="32"/>
          <w:szCs w:val="32"/>
          <w:lang w:val="en-US" w:eastAsia="zh-CN"/>
        </w:rPr>
        <w:t>12</w:t>
      </w:r>
      <w:r>
        <w:rPr>
          <w:rFonts w:hint="eastAsia" w:ascii="仿宋_GB2312" w:hAnsi="仿宋_GB2312" w:eastAsia="仿宋_GB2312" w:cs="仿宋_GB2312"/>
          <w:spacing w:val="-6"/>
          <w:kern w:val="0"/>
          <w:sz w:val="32"/>
          <w:szCs w:val="32"/>
        </w:rPr>
        <w:t>月</w:t>
      </w:r>
      <w:r>
        <w:rPr>
          <w:rFonts w:hint="eastAsia" w:ascii="仿宋_GB2312" w:hAnsi="仿宋_GB2312" w:eastAsia="仿宋_GB2312" w:cs="仿宋_GB2312"/>
          <w:spacing w:val="-6"/>
          <w:kern w:val="0"/>
          <w:sz w:val="32"/>
          <w:szCs w:val="32"/>
          <w:lang w:val="en-US" w:eastAsia="zh-CN"/>
        </w:rPr>
        <w:t>底前</w:t>
      </w:r>
      <w:r>
        <w:rPr>
          <w:rFonts w:hint="eastAsia" w:ascii="仿宋_GB2312" w:hAnsi="仿宋_GB2312" w:eastAsia="仿宋_GB2312" w:cs="仿宋_GB2312"/>
          <w:spacing w:val="-6"/>
          <w:kern w:val="0"/>
          <w:sz w:val="32"/>
          <w:szCs w:val="32"/>
        </w:rPr>
        <w:t>开始使用。</w:t>
      </w:r>
      <w:r>
        <w:rPr>
          <w:rFonts w:hint="eastAsia" w:ascii="仿宋_GB2312" w:hAnsi="仿宋_GB2312" w:eastAsia="仿宋_GB2312" w:cs="仿宋_GB2312"/>
          <w:spacing w:val="-6"/>
          <w:kern w:val="0"/>
          <w:sz w:val="32"/>
          <w:szCs w:val="32"/>
          <w:lang w:eastAsia="zh-CN"/>
        </w:rPr>
        <w:t>未办理</w:t>
      </w:r>
      <w:r>
        <w:rPr>
          <w:rFonts w:hint="eastAsia" w:ascii="仿宋_GB2312" w:hAnsi="仿宋_GB2312" w:eastAsia="仿宋_GB2312" w:cs="仿宋_GB2312"/>
          <w:spacing w:val="-6"/>
          <w:kern w:val="0"/>
          <w:sz w:val="32"/>
          <w:szCs w:val="32"/>
        </w:rPr>
        <w:t>规划报建手续，现有建筑面积</w:t>
      </w:r>
      <w:r>
        <w:rPr>
          <w:rFonts w:hint="eastAsia" w:ascii="仿宋_GB2312" w:hAnsi="仿宋_GB2312" w:eastAsia="仿宋_GB2312" w:cs="仿宋_GB2312"/>
          <w:spacing w:val="-6"/>
          <w:kern w:val="0"/>
          <w:sz w:val="32"/>
          <w:szCs w:val="32"/>
          <w:lang w:val="en-US" w:eastAsia="zh-CN"/>
        </w:rPr>
        <w:t>29983.47</w:t>
      </w:r>
      <w:r>
        <w:rPr>
          <w:rFonts w:hint="eastAsia" w:ascii="仿宋_GB2312" w:hAnsi="仿宋_GB2312" w:eastAsia="仿宋_GB2312" w:cs="仿宋_GB2312"/>
          <w:spacing w:val="-6"/>
          <w:kern w:val="0"/>
          <w:sz w:val="32"/>
          <w:szCs w:val="32"/>
        </w:rPr>
        <w:t>平方米，现状容积率</w:t>
      </w:r>
      <w:r>
        <w:rPr>
          <w:rFonts w:hint="eastAsia" w:ascii="仿宋_GB2312" w:hAnsi="仿宋_GB2312" w:eastAsia="仿宋_GB2312" w:cs="仿宋_GB2312"/>
          <w:spacing w:val="-6"/>
          <w:kern w:val="0"/>
          <w:sz w:val="32"/>
          <w:szCs w:val="32"/>
          <w:lang w:val="en-US" w:eastAsia="zh-CN"/>
        </w:rPr>
        <w:t>0.75</w:t>
      </w:r>
      <w:r>
        <w:rPr>
          <w:rFonts w:hint="eastAsia" w:ascii="仿宋_GB2312" w:hAnsi="仿宋_GB2312" w:eastAsia="仿宋_GB2312" w:cs="仿宋_GB2312"/>
          <w:spacing w:val="-6"/>
          <w:kern w:val="0"/>
          <w:sz w:val="32"/>
          <w:szCs w:val="32"/>
        </w:rPr>
        <w:t>，作工业厂房所用。该地块目前已拆除建筑面积</w:t>
      </w:r>
      <w:r>
        <w:rPr>
          <w:rFonts w:hint="eastAsia" w:ascii="仿宋_GB2312" w:hAnsi="仿宋_GB2312" w:eastAsia="仿宋_GB2312" w:cs="仿宋_GB2312"/>
          <w:spacing w:val="-6"/>
          <w:kern w:val="0"/>
          <w:sz w:val="32"/>
          <w:szCs w:val="32"/>
          <w:lang w:val="en-US" w:eastAsia="zh-CN"/>
        </w:rPr>
        <w:t>0</w:t>
      </w:r>
      <w:r>
        <w:rPr>
          <w:rFonts w:hint="eastAsia" w:ascii="仿宋_GB2312" w:hAnsi="仿宋_GB2312" w:eastAsia="仿宋_GB2312" w:cs="仿宋_GB2312"/>
          <w:spacing w:val="-6"/>
          <w:kern w:val="0"/>
          <w:sz w:val="32"/>
          <w:szCs w:val="32"/>
        </w:rPr>
        <w:t>平方米，改造前年产值为</w:t>
      </w:r>
      <w:r>
        <w:rPr>
          <w:rFonts w:hint="eastAsia" w:ascii="仿宋_GB2312" w:hAnsi="仿宋_GB2312" w:eastAsia="仿宋_GB2312" w:cs="仿宋_GB2312"/>
          <w:spacing w:val="-6"/>
          <w:kern w:val="0"/>
          <w:sz w:val="32"/>
          <w:szCs w:val="32"/>
          <w:lang w:val="en-US" w:eastAsia="zh-CN"/>
        </w:rPr>
        <w:t>6123</w:t>
      </w:r>
      <w:r>
        <w:rPr>
          <w:rFonts w:hint="eastAsia" w:ascii="仿宋_GB2312" w:hAnsi="仿宋_GB2312" w:eastAsia="仿宋_GB2312" w:cs="仿宋_GB2312"/>
          <w:spacing w:val="-6"/>
          <w:kern w:val="0"/>
          <w:sz w:val="32"/>
          <w:szCs w:val="32"/>
        </w:rPr>
        <w:t>万元，年税收为</w:t>
      </w:r>
      <w:r>
        <w:rPr>
          <w:rFonts w:hint="eastAsia" w:ascii="仿宋_GB2312" w:hAnsi="仿宋_GB2312" w:eastAsia="仿宋_GB2312" w:cs="仿宋_GB2312"/>
          <w:spacing w:val="-6"/>
          <w:kern w:val="0"/>
          <w:sz w:val="32"/>
          <w:szCs w:val="32"/>
          <w:lang w:val="en-US" w:eastAsia="zh-CN"/>
        </w:rPr>
        <w:t>127.5</w:t>
      </w:r>
      <w:r>
        <w:rPr>
          <w:rFonts w:hint="eastAsia" w:ascii="仿宋_GB2312" w:hAnsi="仿宋_GB2312" w:eastAsia="仿宋_GB2312" w:cs="仿宋_GB2312"/>
          <w:spacing w:val="-6"/>
          <w:kern w:val="0"/>
          <w:sz w:val="32"/>
          <w:szCs w:val="32"/>
        </w:rPr>
        <w:t>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eastAsia="zh-CN"/>
        </w:rPr>
        <w:t>该宗用</w:t>
      </w:r>
      <w:r>
        <w:rPr>
          <w:rFonts w:hint="eastAsia" w:ascii="仿宋_GB2312" w:hAnsi="仿宋_GB2312" w:eastAsia="仿宋_GB2312" w:cs="仿宋_GB2312"/>
          <w:color w:val="auto"/>
          <w:spacing w:val="-6"/>
          <w:kern w:val="0"/>
          <w:sz w:val="32"/>
          <w:szCs w:val="32"/>
          <w:lang w:eastAsia="zh-CN"/>
        </w:rPr>
        <w:t>地</w:t>
      </w:r>
      <w:r>
        <w:rPr>
          <w:rFonts w:hint="eastAsia" w:ascii="仿宋_GB2312" w:hAnsi="仿宋_GB2312" w:eastAsia="仿宋_GB2312" w:cs="仿宋_GB2312"/>
          <w:color w:val="auto"/>
          <w:spacing w:val="-6"/>
          <w:kern w:val="0"/>
          <w:sz w:val="32"/>
          <w:szCs w:val="32"/>
        </w:rPr>
        <w:t>涉及闲置</w:t>
      </w:r>
      <w:r>
        <w:rPr>
          <w:rFonts w:hint="eastAsia" w:ascii="仿宋_GB2312" w:hAnsi="仿宋_GB2312" w:eastAsia="仿宋_GB2312" w:cs="仿宋_GB2312"/>
          <w:color w:val="auto"/>
          <w:spacing w:val="-6"/>
          <w:kern w:val="0"/>
          <w:sz w:val="32"/>
          <w:szCs w:val="32"/>
          <w:lang w:val="en-US" w:eastAsia="zh-CN"/>
        </w:rPr>
        <w:t>正在办理闲置</w:t>
      </w:r>
      <w:r>
        <w:rPr>
          <w:rFonts w:hint="eastAsia" w:ascii="仿宋_GB2312" w:hAnsi="仿宋_GB2312" w:eastAsia="仿宋_GB2312" w:cs="仿宋_GB2312"/>
          <w:color w:val="auto"/>
          <w:spacing w:val="-6"/>
          <w:kern w:val="0"/>
          <w:sz w:val="32"/>
          <w:szCs w:val="32"/>
          <w:lang w:eastAsia="zh-CN"/>
        </w:rPr>
        <w:t>处置</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不</w:t>
      </w:r>
      <w:r>
        <w:rPr>
          <w:rFonts w:hint="eastAsia" w:ascii="仿宋_GB2312" w:hAnsi="仿宋_GB2312" w:eastAsia="仿宋_GB2312" w:cs="仿宋_GB2312"/>
          <w:spacing w:val="-6"/>
          <w:kern w:val="0"/>
          <w:sz w:val="32"/>
          <w:szCs w:val="32"/>
          <w:lang w:eastAsia="zh-CN"/>
        </w:rPr>
        <w:t>涉及</w:t>
      </w:r>
      <w:r>
        <w:rPr>
          <w:rFonts w:hint="eastAsia" w:ascii="仿宋_GB2312" w:hAnsi="仿宋_GB2312" w:eastAsia="仿宋_GB2312" w:cs="仿宋_GB2312"/>
          <w:spacing w:val="-6"/>
          <w:kern w:val="0"/>
          <w:sz w:val="32"/>
          <w:szCs w:val="32"/>
        </w:rPr>
        <w:t>抵押</w:t>
      </w:r>
      <w:r>
        <w:rPr>
          <w:rFonts w:hint="eastAsia" w:ascii="仿宋_GB2312" w:hAnsi="仿宋_GB2312" w:eastAsia="仿宋_GB2312" w:cs="仿宋_GB2312"/>
          <w:spacing w:val="-6"/>
          <w:kern w:val="0"/>
          <w:sz w:val="32"/>
          <w:szCs w:val="32"/>
          <w:lang w:val="en-US" w:eastAsia="zh-CN"/>
        </w:rPr>
        <w:t>、</w:t>
      </w:r>
      <w:r>
        <w:rPr>
          <w:rFonts w:hint="eastAsia" w:ascii="仿宋_GB2312" w:hAnsi="仿宋_GB2312" w:eastAsia="仿宋_GB2312" w:cs="仿宋_GB2312"/>
          <w:spacing w:val="-6"/>
          <w:kern w:val="0"/>
          <w:sz w:val="32"/>
          <w:szCs w:val="32"/>
        </w:rPr>
        <w:t>历史文化资源要素</w:t>
      </w:r>
      <w:r>
        <w:rPr>
          <w:rFonts w:hint="eastAsia" w:ascii="仿宋_GB2312" w:hAnsi="仿宋_GB2312" w:eastAsia="仿宋_GB2312" w:cs="仿宋_GB2312"/>
          <w:spacing w:val="-6"/>
          <w:kern w:val="0"/>
          <w:sz w:val="32"/>
          <w:szCs w:val="32"/>
          <w:lang w:val="en-US" w:eastAsia="zh-CN"/>
        </w:rPr>
        <w:t>和</w:t>
      </w:r>
      <w:r>
        <w:rPr>
          <w:rFonts w:hint="eastAsia" w:ascii="仿宋_GB2312" w:hAnsi="仿宋_GB2312" w:eastAsia="仿宋_GB2312" w:cs="仿宋_GB2312"/>
          <w:spacing w:val="-6"/>
          <w:kern w:val="0"/>
          <w:sz w:val="32"/>
          <w:szCs w:val="32"/>
          <w:lang w:eastAsia="zh-CN"/>
        </w:rPr>
        <w:t>土壤环境潜在监管地块等情况。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lang w:eastAsia="zh-CN"/>
        </w:rPr>
      </w:pPr>
      <w:r>
        <w:rPr>
          <w:rFonts w:hint="eastAsia" w:ascii="楷体" w:hAnsi="楷体" w:eastAsia="楷体" w:cs="楷体"/>
          <w:spacing w:val="-6"/>
          <w:sz w:val="32"/>
          <w:szCs w:val="32"/>
        </w:rPr>
        <w:t>（</w:t>
      </w:r>
      <w:r>
        <w:rPr>
          <w:rFonts w:hint="eastAsia" w:ascii="楷体" w:hAnsi="楷体" w:eastAsia="楷体" w:cs="楷体"/>
          <w:spacing w:val="-6"/>
          <w:sz w:val="32"/>
          <w:szCs w:val="32"/>
          <w:lang w:val="en-US" w:eastAsia="zh-CN"/>
        </w:rPr>
        <w:t>五</w:t>
      </w:r>
      <w:r>
        <w:rPr>
          <w:rFonts w:hint="eastAsia" w:ascii="楷体" w:hAnsi="楷体" w:eastAsia="楷体" w:cs="楷体"/>
          <w:spacing w:val="-6"/>
          <w:sz w:val="32"/>
          <w:szCs w:val="32"/>
        </w:rPr>
        <w:t>）规划情况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24"/>
          <w:highlight w:val="none"/>
          <w:lang w:eastAsia="zh-CN"/>
        </w:rPr>
      </w:pPr>
      <w:r>
        <w:rPr>
          <w:rFonts w:hint="eastAsia" w:ascii="仿宋_GB2312" w:hAnsi="仿宋_GB2312" w:eastAsia="仿宋_GB2312" w:cs="仿宋_GB2312"/>
          <w:spacing w:val="-6"/>
          <w:kern w:val="0"/>
          <w:sz w:val="32"/>
          <w:szCs w:val="32"/>
        </w:rPr>
        <w:t>改造地块符合</w:t>
      </w:r>
      <w:r>
        <w:rPr>
          <w:rFonts w:hint="eastAsia" w:ascii="仿宋_GB2312" w:hAnsi="仿宋_GB2312" w:eastAsia="仿宋_GB2312" w:cs="仿宋_GB2312"/>
          <w:spacing w:val="-6"/>
          <w:kern w:val="0"/>
          <w:sz w:val="32"/>
          <w:szCs w:val="32"/>
          <w:lang w:val="en-US" w:eastAsia="zh-CN"/>
        </w:rPr>
        <w:t>国土空间总体规划</w:t>
      </w:r>
      <w:r>
        <w:rPr>
          <w:rFonts w:hint="eastAsia" w:ascii="仿宋_GB2312" w:hAnsi="仿宋_GB2312" w:eastAsia="仿宋_GB2312" w:cs="仿宋_GB2312"/>
          <w:spacing w:val="-6"/>
          <w:kern w:val="0"/>
          <w:sz w:val="32"/>
          <w:szCs w:val="32"/>
        </w:rPr>
        <w:t>、控制性详细规划</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其中，在</w:t>
      </w:r>
      <w:r>
        <w:rPr>
          <w:rFonts w:hint="eastAsia" w:ascii="仿宋_GB2312" w:hAnsi="仿宋_GB2312" w:eastAsia="仿宋_GB2312" w:cs="仿宋_GB2312"/>
          <w:spacing w:val="-6"/>
          <w:kern w:val="0"/>
          <w:sz w:val="32"/>
          <w:szCs w:val="32"/>
          <w:lang w:val="en-US" w:eastAsia="zh-CN"/>
        </w:rPr>
        <w:t>国土空间总体规划</w:t>
      </w:r>
      <w:r>
        <w:rPr>
          <w:rFonts w:hint="eastAsia" w:ascii="仿宋_GB2312" w:hAnsi="仿宋_GB2312" w:eastAsia="仿宋_GB2312" w:cs="仿宋_GB2312"/>
          <w:spacing w:val="-6"/>
          <w:kern w:val="0"/>
          <w:sz w:val="32"/>
          <w:szCs w:val="32"/>
        </w:rPr>
        <w:t>中，属城镇建设用地</w:t>
      </w:r>
      <w:r>
        <w:rPr>
          <w:rFonts w:hint="eastAsia" w:ascii="仿宋_GB2312" w:hAnsi="仿宋_GB2312" w:eastAsia="仿宋_GB2312" w:cs="仿宋_GB2312"/>
          <w:spacing w:val="-6"/>
          <w:kern w:val="0"/>
          <w:sz w:val="32"/>
          <w:szCs w:val="32"/>
          <w:lang w:val="en-US" w:eastAsia="zh-CN"/>
        </w:rPr>
        <w:t>4.00公顷（39966.66</w:t>
      </w:r>
      <w:r>
        <w:rPr>
          <w:rFonts w:hint="eastAsia" w:ascii="仿宋_GB2312" w:hAnsi="仿宋_GB2312" w:eastAsia="仿宋_GB2312" w:cs="仿宋_GB2312"/>
          <w:spacing w:val="-6"/>
          <w:kern w:val="0"/>
          <w:sz w:val="32"/>
          <w:szCs w:val="32"/>
        </w:rPr>
        <w:t>平方米，折合约</w:t>
      </w:r>
      <w:r>
        <w:rPr>
          <w:rFonts w:hint="eastAsia" w:ascii="仿宋_GB2312" w:hAnsi="仿宋_GB2312" w:eastAsia="仿宋_GB2312" w:cs="仿宋_GB2312"/>
          <w:spacing w:val="-6"/>
          <w:kern w:val="0"/>
          <w:sz w:val="32"/>
          <w:szCs w:val="32"/>
          <w:lang w:val="en-US" w:eastAsia="zh-CN"/>
        </w:rPr>
        <w:t>59.95</w:t>
      </w:r>
      <w:r>
        <w:rPr>
          <w:rFonts w:hint="eastAsia" w:ascii="仿宋_GB2312" w:hAnsi="仿宋_GB2312" w:eastAsia="仿宋_GB2312" w:cs="仿宋_GB2312"/>
          <w:spacing w:val="-6"/>
          <w:kern w:val="0"/>
          <w:sz w:val="32"/>
          <w:szCs w:val="32"/>
        </w:rPr>
        <w:t>亩），属非建设用地</w:t>
      </w:r>
      <w:r>
        <w:rPr>
          <w:rFonts w:hint="eastAsia" w:ascii="仿宋_GB2312" w:hAnsi="仿宋_GB2312" w:eastAsia="仿宋_GB2312" w:cs="仿宋_GB2312"/>
          <w:spacing w:val="-6"/>
          <w:kern w:val="0"/>
          <w:sz w:val="32"/>
          <w:szCs w:val="32"/>
          <w:lang w:val="en-US" w:eastAsia="zh-CN"/>
        </w:rPr>
        <w:t>0</w:t>
      </w:r>
      <w:r>
        <w:rPr>
          <w:rFonts w:hint="eastAsia" w:ascii="仿宋_GB2312" w:hAnsi="仿宋_GB2312" w:eastAsia="仿宋_GB2312" w:cs="仿宋_GB2312"/>
          <w:spacing w:val="-6"/>
          <w:kern w:val="0"/>
          <w:sz w:val="32"/>
          <w:szCs w:val="32"/>
        </w:rPr>
        <w:t>公顷；在</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中山市板芙镇工业用地规划条件论证报告》</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中府函〔2022〕237 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中，</w:t>
      </w:r>
      <w:r>
        <w:rPr>
          <w:rFonts w:hint="eastAsia" w:ascii="仿宋_GB2312" w:hAnsi="仿宋_GB2312" w:eastAsia="仿宋_GB2312" w:cs="仿宋_GB2312"/>
          <w:spacing w:val="-6"/>
          <w:kern w:val="0"/>
          <w:sz w:val="32"/>
          <w:szCs w:val="32"/>
          <w:lang w:val="en-US" w:eastAsia="zh-CN"/>
        </w:rPr>
        <w:t>二</w:t>
      </w:r>
      <w:r>
        <w:rPr>
          <w:rFonts w:hint="eastAsia" w:ascii="仿宋_GB2312" w:hAnsi="仿宋_GB2312" w:eastAsia="仿宋_GB2312" w:cs="仿宋_GB2312"/>
          <w:spacing w:val="-6"/>
          <w:kern w:val="0"/>
          <w:sz w:val="32"/>
          <w:szCs w:val="32"/>
        </w:rPr>
        <w:t>类工业用地</w:t>
      </w:r>
      <w:r>
        <w:rPr>
          <w:rFonts w:hint="eastAsia" w:ascii="仿宋_GB2312" w:hAnsi="仿宋_GB2312" w:eastAsia="仿宋_GB2312" w:cs="仿宋_GB2312"/>
          <w:spacing w:val="-6"/>
          <w:kern w:val="0"/>
          <w:sz w:val="32"/>
          <w:szCs w:val="32"/>
          <w:lang w:val="en-US" w:eastAsia="zh-CN"/>
        </w:rPr>
        <w:t>3.85</w:t>
      </w:r>
      <w:r>
        <w:rPr>
          <w:rFonts w:hint="eastAsia" w:ascii="仿宋_GB2312" w:hAnsi="仿宋_GB2312" w:eastAsia="仿宋_GB2312" w:cs="仿宋_GB2312"/>
          <w:spacing w:val="-6"/>
          <w:kern w:val="0"/>
          <w:sz w:val="32"/>
          <w:szCs w:val="32"/>
        </w:rPr>
        <w:t>公顷（38501.35平方米，折合约</w:t>
      </w:r>
      <w:r>
        <w:rPr>
          <w:rFonts w:hint="eastAsia" w:ascii="仿宋_GB2312" w:hAnsi="仿宋_GB2312" w:eastAsia="仿宋_GB2312" w:cs="仿宋_GB2312"/>
          <w:spacing w:val="-6"/>
          <w:kern w:val="0"/>
          <w:sz w:val="32"/>
          <w:szCs w:val="32"/>
          <w:lang w:val="en-US" w:eastAsia="zh-CN"/>
        </w:rPr>
        <w:t>57.75</w:t>
      </w:r>
      <w:r>
        <w:rPr>
          <w:rFonts w:hint="eastAsia" w:ascii="仿宋_GB2312" w:hAnsi="仿宋_GB2312" w:eastAsia="仿宋_GB2312" w:cs="仿宋_GB2312"/>
          <w:spacing w:val="-6"/>
          <w:kern w:val="0"/>
          <w:sz w:val="32"/>
          <w:szCs w:val="32"/>
        </w:rPr>
        <w:t>亩）规</w:t>
      </w:r>
      <w:r>
        <w:rPr>
          <w:rFonts w:hint="eastAsia" w:ascii="仿宋_GB2312" w:hAnsi="仿宋_GB2312" w:eastAsia="仿宋_GB2312" w:cs="仿宋_GB2312"/>
          <w:color w:val="auto"/>
          <w:spacing w:val="-6"/>
          <w:kern w:val="2"/>
          <w:sz w:val="32"/>
          <w:szCs w:val="24"/>
          <w:highlight w:val="none"/>
        </w:rPr>
        <w:t>划容积率</w:t>
      </w:r>
      <w:r>
        <w:rPr>
          <w:rFonts w:hint="eastAsia" w:ascii="仿宋_GB2312" w:hAnsi="仿宋_GB2312" w:eastAsia="仿宋_GB2312" w:cs="仿宋_GB2312"/>
          <w:color w:val="auto"/>
          <w:spacing w:val="-6"/>
          <w:kern w:val="2"/>
          <w:sz w:val="32"/>
          <w:szCs w:val="24"/>
          <w:highlight w:val="none"/>
          <w:lang w:val="en-US" w:eastAsia="zh-CN"/>
        </w:rPr>
        <w:t>1.0-</w:t>
      </w:r>
      <w:r>
        <w:rPr>
          <w:rFonts w:hint="eastAsia" w:ascii="仿宋_GB2312" w:hAnsi="仿宋_GB2312" w:eastAsia="仿宋_GB2312" w:cs="仿宋_GB2312"/>
          <w:color w:val="auto"/>
          <w:spacing w:val="-6"/>
          <w:kern w:val="2"/>
          <w:sz w:val="32"/>
          <w:szCs w:val="24"/>
          <w:highlight w:val="none"/>
          <w:u w:val="none"/>
          <w:lang w:val="en-US" w:eastAsia="zh-CN"/>
        </w:rPr>
        <w:t>3.5</w:t>
      </w:r>
      <w:r>
        <w:rPr>
          <w:rFonts w:hint="eastAsia" w:ascii="仿宋_GB2312" w:hAnsi="仿宋_GB2312" w:eastAsia="仿宋_GB2312" w:cs="仿宋_GB2312"/>
          <w:color w:val="auto"/>
          <w:spacing w:val="-6"/>
          <w:kern w:val="2"/>
          <w:sz w:val="32"/>
          <w:szCs w:val="24"/>
          <w:highlight w:val="none"/>
        </w:rPr>
        <w:t>，建筑密度</w:t>
      </w:r>
      <w:r>
        <w:rPr>
          <w:rFonts w:hint="eastAsia" w:ascii="仿宋_GB2312" w:hAnsi="仿宋_GB2312" w:eastAsia="仿宋_GB2312" w:cs="仿宋_GB2312"/>
          <w:color w:val="auto"/>
          <w:spacing w:val="-6"/>
          <w:kern w:val="2"/>
          <w:sz w:val="32"/>
          <w:szCs w:val="24"/>
          <w:highlight w:val="none"/>
          <w:u w:val="none"/>
          <w:lang w:val="en-US" w:eastAsia="zh-CN"/>
        </w:rPr>
        <w:t>35-60%</w:t>
      </w:r>
      <w:r>
        <w:rPr>
          <w:rFonts w:hint="eastAsia" w:ascii="仿宋_GB2312" w:hAnsi="仿宋_GB2312" w:eastAsia="仿宋_GB2312" w:cs="仿宋_GB2312"/>
          <w:color w:val="auto"/>
          <w:spacing w:val="-6"/>
          <w:kern w:val="2"/>
          <w:sz w:val="32"/>
          <w:szCs w:val="24"/>
          <w:highlight w:val="none"/>
        </w:rPr>
        <w:t>，绿地率10-15%，生产性建筑高度≤50m，配套设施建筑高度≤100m</w:t>
      </w:r>
      <w:r>
        <w:rPr>
          <w:rFonts w:hint="eastAsia" w:ascii="仿宋_GB2312" w:hAnsi="仿宋_GB2312" w:eastAsia="仿宋_GB2312" w:cs="仿宋_GB2312"/>
          <w:color w:val="auto"/>
          <w:spacing w:val="-6"/>
          <w:kern w:val="2"/>
          <w:sz w:val="32"/>
          <w:szCs w:val="24"/>
          <w:highlight w:val="none"/>
          <w:lang w:eastAsia="zh-CN"/>
        </w:rPr>
        <w:t>，道路用地</w:t>
      </w:r>
      <w:r>
        <w:rPr>
          <w:rFonts w:hint="eastAsia" w:ascii="仿宋_GB2312" w:hAnsi="仿宋_GB2312" w:eastAsia="仿宋_GB2312" w:cs="仿宋_GB2312"/>
          <w:spacing w:val="-6"/>
          <w:kern w:val="0"/>
          <w:sz w:val="32"/>
          <w:szCs w:val="32"/>
          <w:lang w:val="en-US" w:eastAsia="zh-CN"/>
        </w:rPr>
        <w:t>0.15公顷（1465.31</w:t>
      </w:r>
      <w:r>
        <w:rPr>
          <w:rFonts w:hint="eastAsia" w:ascii="仿宋_GB2312" w:hAnsi="仿宋_GB2312" w:eastAsia="仿宋_GB2312" w:cs="仿宋_GB2312"/>
          <w:spacing w:val="-6"/>
          <w:kern w:val="0"/>
          <w:sz w:val="32"/>
          <w:szCs w:val="32"/>
        </w:rPr>
        <w:t>平方米，折合约</w:t>
      </w:r>
      <w:r>
        <w:rPr>
          <w:rFonts w:hint="eastAsia" w:ascii="仿宋_GB2312" w:hAnsi="仿宋_GB2312" w:eastAsia="仿宋_GB2312" w:cs="仿宋_GB2312"/>
          <w:spacing w:val="-6"/>
          <w:kern w:val="0"/>
          <w:sz w:val="32"/>
          <w:szCs w:val="32"/>
          <w:lang w:val="en-US" w:eastAsia="zh-CN"/>
        </w:rPr>
        <w:t>2.20</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color w:val="auto"/>
          <w:spacing w:val="-6"/>
          <w:kern w:val="2"/>
          <w:sz w:val="32"/>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eastAsia="zh-CN"/>
        </w:rPr>
        <w:t>该用地不</w:t>
      </w:r>
      <w:r>
        <w:rPr>
          <w:rFonts w:hint="eastAsia" w:ascii="仿宋_GB2312" w:hAnsi="仿宋_GB2312" w:eastAsia="仿宋_GB2312" w:cs="仿宋_GB2312"/>
          <w:spacing w:val="-6"/>
          <w:sz w:val="32"/>
          <w:szCs w:val="32"/>
        </w:rPr>
        <w:t>涉及永久基本农田、生态保护红线</w:t>
      </w:r>
      <w:r>
        <w:rPr>
          <w:rFonts w:hint="eastAsia" w:ascii="仿宋_GB2312" w:hAnsi="仿宋_GB2312" w:eastAsia="仿宋_GB2312" w:cs="仿宋_GB2312"/>
          <w:spacing w:val="-6"/>
          <w:sz w:val="32"/>
          <w:szCs w:val="32"/>
          <w:lang w:eastAsia="zh-CN"/>
        </w:rPr>
        <w:t>；全部位于</w:t>
      </w:r>
      <w:r>
        <w:rPr>
          <w:rFonts w:hint="eastAsia" w:ascii="仿宋_GB2312" w:hAnsi="仿宋_GB2312" w:eastAsia="仿宋_GB2312" w:cs="仿宋_GB2312"/>
          <w:spacing w:val="-6"/>
          <w:sz w:val="32"/>
          <w:szCs w:val="32"/>
        </w:rPr>
        <w:t>城镇开发边界</w:t>
      </w:r>
      <w:r>
        <w:rPr>
          <w:rFonts w:hint="eastAsia" w:ascii="仿宋_GB2312" w:hAnsi="仿宋_GB2312" w:eastAsia="仿宋_GB2312" w:cs="仿宋_GB2312"/>
          <w:spacing w:val="-6"/>
          <w:sz w:val="32"/>
          <w:szCs w:val="32"/>
          <w:lang w:eastAsia="zh-CN"/>
        </w:rPr>
        <w:t>内，</w:t>
      </w:r>
      <w:r>
        <w:rPr>
          <w:rFonts w:hint="eastAsia" w:ascii="仿宋_GB2312" w:hAnsi="仿宋_GB2312" w:eastAsia="仿宋_GB2312" w:cs="仿宋_GB2312"/>
          <w:spacing w:val="-6"/>
          <w:sz w:val="32"/>
          <w:szCs w:val="32"/>
          <w:highlight w:val="none"/>
          <w:lang w:val="en-US" w:eastAsia="zh-CN"/>
        </w:rPr>
        <w:t>属于一级工业用地保护线范围内</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二、改造意愿及安置补偿情况</w:t>
      </w:r>
    </w:p>
    <w:p>
      <w:pPr>
        <w:spacing w:line="574" w:lineRule="exact"/>
        <w:ind w:firstLine="616" w:firstLineChars="200"/>
        <w:rPr>
          <w:rFonts w:hint="eastAsia" w:ascii="楷体" w:hAnsi="楷体" w:eastAsia="楷体" w:cs="楷体"/>
          <w:spacing w:val="-6"/>
          <w:kern w:val="0"/>
          <w:sz w:val="32"/>
          <w:szCs w:val="32"/>
        </w:rPr>
      </w:pPr>
      <w:r>
        <w:rPr>
          <w:rFonts w:hint="eastAsia" w:ascii="楷体" w:hAnsi="楷体" w:eastAsia="楷体" w:cs="楷体"/>
          <w:spacing w:val="-6"/>
          <w:kern w:val="0"/>
          <w:sz w:val="32"/>
          <w:szCs w:val="32"/>
        </w:rPr>
        <w:t>（一）改造意愿情况</w:t>
      </w:r>
    </w:p>
    <w:p>
      <w:pPr>
        <w:spacing w:line="574" w:lineRule="exact"/>
        <w:ind w:firstLine="616" w:firstLineChars="200"/>
        <w:rPr>
          <w:rFonts w:hint="eastAsia" w:ascii="仿宋_GB2312" w:hAnsi="仿宋_GB2312" w:eastAsia="仿宋_GB2312" w:cs="仿宋_GB2312"/>
          <w:spacing w:val="-6"/>
          <w:sz w:val="32"/>
        </w:rPr>
      </w:pPr>
      <w:r>
        <w:rPr>
          <w:rFonts w:hint="eastAsia" w:ascii="仿宋_GB2312" w:hAnsi="仿宋_GB2312" w:eastAsia="仿宋_GB2312" w:cs="仿宋_GB2312"/>
          <w:spacing w:val="-6"/>
          <w:kern w:val="0"/>
          <w:sz w:val="32"/>
          <w:szCs w:val="32"/>
        </w:rPr>
        <w:t>改造范围涉及中山市板芙镇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联合社1</w:t>
      </w:r>
      <w:r>
        <w:rPr>
          <w:rFonts w:hint="eastAsia" w:ascii="仿宋_GB2312" w:hAnsi="仿宋_GB2312" w:eastAsia="仿宋_GB2312" w:cs="仿宋_GB2312"/>
          <w:spacing w:val="-6"/>
          <w:kern w:val="0"/>
          <w:sz w:val="32"/>
          <w:szCs w:val="32"/>
        </w:rPr>
        <w:t>个权利主体，</w:t>
      </w:r>
      <w:r>
        <w:rPr>
          <w:rFonts w:hint="eastAsia" w:ascii="仿宋_GB2312" w:hAnsi="仿宋_GB2312" w:eastAsia="仿宋_GB2312" w:cs="仿宋_GB2312"/>
          <w:spacing w:val="-6"/>
          <w:sz w:val="32"/>
        </w:rPr>
        <w:t>板芙镇人民政府已按照法律法规及中山市“三旧”改造政策规定，就改造范围、土地现状、改造主体及拟改造情况、补偿安置方式及标准等事项征询涉及所有权利人改造意愿，</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6"/>
          <w:kern w:val="0"/>
          <w:sz w:val="32"/>
          <w:szCs w:val="32"/>
        </w:rPr>
        <w:t>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联合社</w:t>
      </w:r>
      <w:r>
        <w:rPr>
          <w:rFonts w:hint="eastAsia" w:ascii="仿宋_GB2312" w:hAnsi="仿宋_GB2312" w:eastAsia="仿宋_GB2312" w:cs="仿宋_GB2312"/>
          <w:color w:val="auto"/>
          <w:spacing w:val="-6"/>
          <w:kern w:val="0"/>
          <w:sz w:val="32"/>
          <w:szCs w:val="32"/>
          <w:highlight w:val="none"/>
          <w:lang w:val="en-US" w:eastAsia="zh-CN"/>
        </w:rPr>
        <w:t>成员</w:t>
      </w:r>
      <w:r>
        <w:rPr>
          <w:rFonts w:hint="eastAsia" w:ascii="仿宋_GB2312" w:hAnsi="仿宋_GB2312" w:eastAsia="仿宋_GB2312" w:cs="仿宋_GB2312"/>
          <w:color w:val="auto"/>
          <w:spacing w:val="-6"/>
          <w:kern w:val="0"/>
          <w:sz w:val="32"/>
          <w:szCs w:val="32"/>
          <w:highlight w:val="none"/>
        </w:rPr>
        <w:t>代表大</w:t>
      </w:r>
      <w:r>
        <w:rPr>
          <w:rFonts w:hint="eastAsia" w:ascii="仿宋_GB2312" w:hAnsi="仿宋_GB2312" w:eastAsia="仿宋_GB2312" w:cs="仿宋_GB2312"/>
          <w:spacing w:val="-6"/>
          <w:sz w:val="32"/>
        </w:rPr>
        <w:t>会三分之二以上成员同意，</w:t>
      </w:r>
      <w:r>
        <w:rPr>
          <w:rFonts w:eastAsia="仿宋_GB2312"/>
          <w:spacing w:val="-6"/>
          <w:sz w:val="32"/>
          <w:szCs w:val="32"/>
        </w:rPr>
        <w:t>将涉及</w:t>
      </w:r>
      <w:r>
        <w:rPr>
          <w:rFonts w:hint="eastAsia" w:eastAsia="仿宋_GB2312"/>
          <w:spacing w:val="-6"/>
          <w:sz w:val="32"/>
          <w:szCs w:val="32"/>
          <w:lang w:val="en-US" w:eastAsia="zh-CN"/>
        </w:rPr>
        <w:t>的</w:t>
      </w:r>
      <w:r>
        <w:rPr>
          <w:rFonts w:eastAsia="仿宋_GB2312"/>
          <w:spacing w:val="-6"/>
          <w:sz w:val="32"/>
          <w:szCs w:val="32"/>
        </w:rPr>
        <w:t>土地</w:t>
      </w:r>
      <w:r>
        <w:rPr>
          <w:rFonts w:hint="eastAsia" w:eastAsia="仿宋_GB2312"/>
          <w:spacing w:val="-6"/>
          <w:sz w:val="32"/>
          <w:szCs w:val="32"/>
          <w:lang w:val="en-US" w:eastAsia="zh-CN"/>
        </w:rPr>
        <w:t>及地上附着物</w:t>
      </w:r>
      <w:r>
        <w:rPr>
          <w:rFonts w:eastAsia="仿宋_GB2312"/>
          <w:spacing w:val="-6"/>
          <w:sz w:val="32"/>
          <w:szCs w:val="32"/>
        </w:rPr>
        <w:t>纳入改造范围</w:t>
      </w:r>
      <w:r>
        <w:rPr>
          <w:rFonts w:hint="eastAsia" w:ascii="仿宋_GB2312" w:hAnsi="仿宋_GB2312" w:eastAsia="仿宋_GB2312" w:cs="仿宋_GB2312"/>
          <w:spacing w:val="-6"/>
          <w:sz w:val="32"/>
        </w:rPr>
        <w:t>。</w:t>
      </w:r>
    </w:p>
    <w:p>
      <w:pPr>
        <w:numPr>
          <w:ilvl w:val="0"/>
          <w:numId w:val="1"/>
        </w:numPr>
        <w:spacing w:line="574" w:lineRule="exact"/>
        <w:ind w:firstLine="616" w:firstLineChars="200"/>
        <w:rPr>
          <w:rFonts w:hint="eastAsia" w:ascii="楷体" w:hAnsi="楷体" w:eastAsia="楷体" w:cs="楷体"/>
          <w:spacing w:val="-6"/>
          <w:kern w:val="0"/>
          <w:sz w:val="32"/>
          <w:szCs w:val="32"/>
        </w:rPr>
      </w:pPr>
      <w:r>
        <w:rPr>
          <w:rFonts w:hint="eastAsia" w:ascii="楷体" w:hAnsi="楷体" w:eastAsia="楷体" w:cs="楷体"/>
          <w:spacing w:val="-6"/>
          <w:kern w:val="0"/>
          <w:sz w:val="32"/>
          <w:szCs w:val="32"/>
        </w:rPr>
        <w:t>补偿安置情况</w:t>
      </w:r>
    </w:p>
    <w:p>
      <w:pPr>
        <w:spacing w:line="574" w:lineRule="exact"/>
        <w:ind w:firstLine="616" w:firstLineChars="200"/>
        <w:rPr>
          <w:rFonts w:hint="eastAsia" w:ascii="仿宋_GB2312" w:hAnsi="仿宋_GB2312" w:eastAsia="仿宋_GB2312" w:cs="仿宋_GB2312"/>
          <w:spacing w:val="-6"/>
          <w:sz w:val="32"/>
          <w:lang w:eastAsia="zh-CN"/>
        </w:rPr>
      </w:pPr>
      <w:r>
        <w:rPr>
          <w:rFonts w:hint="eastAsia" w:ascii="仿宋_GB2312" w:hAnsi="仿宋_GB2312" w:eastAsia="仿宋_GB2312" w:cs="仿宋_GB2312"/>
          <w:spacing w:val="-6"/>
          <w:kern w:val="0"/>
          <w:sz w:val="32"/>
          <w:szCs w:val="32"/>
        </w:rPr>
        <w:t>中山市板芙镇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联合社</w:t>
      </w:r>
      <w:r>
        <w:rPr>
          <w:rFonts w:hint="eastAsia" w:ascii="仿宋_GB2312" w:hAnsi="仿宋_GB2312" w:eastAsia="仿宋_GB2312" w:cs="仿宋_GB2312"/>
          <w:spacing w:val="-6"/>
          <w:sz w:val="32"/>
        </w:rPr>
        <w:t>经成员代表会议决议同意</w:t>
      </w:r>
      <w:r>
        <w:rPr>
          <w:rFonts w:hint="eastAsia" w:ascii="仿宋_GB2312" w:hAnsi="仿宋_GB2312" w:eastAsia="仿宋_GB2312" w:cs="仿宋_GB2312"/>
          <w:spacing w:val="-6"/>
          <w:sz w:val="32"/>
          <w:lang w:eastAsia="zh-CN"/>
        </w:rPr>
        <w:t>主要事项如下：</w:t>
      </w:r>
    </w:p>
    <w:p>
      <w:pPr>
        <w:spacing w:line="574" w:lineRule="exact"/>
        <w:ind w:firstLine="616" w:firstLineChars="200"/>
        <w:rPr>
          <w:rFonts w:hint="eastAsia" w:ascii="仿宋_GB2312" w:hAnsi="仿宋_GB2312" w:eastAsia="仿宋_GB2312" w:cs="仿宋_GB2312"/>
          <w:spacing w:val="-6"/>
          <w:sz w:val="32"/>
          <w:lang w:val="en-US" w:eastAsia="zh-CN"/>
        </w:rPr>
      </w:pPr>
      <w:r>
        <w:rPr>
          <w:rFonts w:hint="eastAsia" w:ascii="仿宋_GB2312" w:hAnsi="仿宋_GB2312" w:eastAsia="仿宋_GB2312" w:cs="仿宋_GB2312"/>
          <w:spacing w:val="-6"/>
          <w:sz w:val="32"/>
          <w:lang w:val="en-US" w:eastAsia="zh-CN"/>
        </w:rPr>
        <w:t>1、</w:t>
      </w:r>
      <w:r>
        <w:rPr>
          <w:rFonts w:hint="eastAsia" w:ascii="仿宋_GB2312" w:hAnsi="仿宋_GB2312" w:eastAsia="仿宋_GB2312" w:cs="仿宋_GB2312"/>
          <w:spacing w:val="-6"/>
          <w:sz w:val="32"/>
        </w:rPr>
        <w:t>申请将</w:t>
      </w:r>
      <w:r>
        <w:rPr>
          <w:rFonts w:hint="eastAsia" w:ascii="仿宋_GB2312" w:hAnsi="仿宋_GB2312" w:eastAsia="仿宋_GB2312" w:cs="仿宋_GB2312"/>
          <w:spacing w:val="-6"/>
          <w:sz w:val="32"/>
          <w:lang w:eastAsia="zh-CN"/>
        </w:rPr>
        <w:t>土地证号为</w:t>
      </w:r>
      <w:r>
        <w:rPr>
          <w:rFonts w:hint="eastAsia" w:ascii="仿宋_GB2312" w:hAnsi="仿宋_GB2312" w:eastAsia="仿宋_GB2312" w:cs="仿宋_GB2312"/>
          <w:spacing w:val="-6"/>
          <w:kern w:val="0"/>
          <w:sz w:val="32"/>
          <w:szCs w:val="32"/>
          <w:lang w:val="en-US" w:eastAsia="zh-CN"/>
        </w:rPr>
        <w:t>中府国用（2008）第300197号</w:t>
      </w:r>
      <w:r>
        <w:rPr>
          <w:rFonts w:hint="eastAsia" w:ascii="仿宋_GB2312" w:hAnsi="仿宋_GB2312" w:eastAsia="仿宋_GB2312" w:cs="仿宋_GB2312"/>
          <w:spacing w:val="-6"/>
          <w:sz w:val="32"/>
          <w:lang w:eastAsia="zh-CN"/>
        </w:rPr>
        <w:t>的用地，合计</w:t>
      </w:r>
      <w:r>
        <w:rPr>
          <w:rFonts w:hint="eastAsia" w:ascii="仿宋_GB2312" w:hAnsi="仿宋_GB2312" w:eastAsia="仿宋_GB2312" w:cs="仿宋_GB2312"/>
          <w:spacing w:val="-6"/>
          <w:sz w:val="32"/>
          <w:szCs w:val="32"/>
          <w:lang w:val="en-US" w:eastAsia="zh-CN"/>
        </w:rPr>
        <w:t>4.00</w:t>
      </w:r>
      <w:r>
        <w:rPr>
          <w:rFonts w:hint="eastAsia" w:ascii="仿宋_GB2312" w:hAnsi="仿宋_GB2312" w:eastAsia="仿宋_GB2312" w:cs="仿宋_GB2312"/>
          <w:spacing w:val="-6"/>
          <w:sz w:val="32"/>
          <w:szCs w:val="32"/>
          <w:lang w:eastAsia="zh-CN"/>
        </w:rPr>
        <w:t>公顷（39966.6</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lang w:eastAsia="zh-CN"/>
        </w:rPr>
        <w:t>平方米，折合约59.9</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亩）</w:t>
      </w:r>
      <w:r>
        <w:rPr>
          <w:rFonts w:hint="eastAsia" w:ascii="仿宋_GB2312" w:hAnsi="仿宋_GB2312" w:eastAsia="仿宋_GB2312" w:cs="仿宋_GB2312"/>
          <w:spacing w:val="-6"/>
          <w:sz w:val="32"/>
          <w:lang w:eastAsia="zh-CN"/>
        </w:rPr>
        <w:t>由政府收储后公开出让</w:t>
      </w:r>
      <w:r>
        <w:rPr>
          <w:rFonts w:hint="eastAsia" w:ascii="仿宋_GB2312" w:hAnsi="仿宋_GB2312" w:eastAsia="仿宋_GB2312" w:cs="仿宋_GB2312"/>
          <w:spacing w:val="-6"/>
          <w:sz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spacing w:val="-6"/>
          <w:sz w:val="32"/>
          <w:highlight w:val="yellow"/>
          <w:lang w:val="en-US" w:eastAsia="zh-CN"/>
        </w:rPr>
      </w:pPr>
      <w:r>
        <w:rPr>
          <w:rFonts w:hint="eastAsia" w:ascii="仿宋_GB2312" w:hAnsi="仿宋_GB2312" w:eastAsia="仿宋_GB2312" w:cs="仿宋_GB2312"/>
          <w:spacing w:val="-6"/>
          <w:sz w:val="32"/>
          <w:lang w:val="en-US" w:eastAsia="zh-CN"/>
        </w:rPr>
        <w:t>2、</w:t>
      </w:r>
      <w:r>
        <w:rPr>
          <w:rFonts w:hint="eastAsia" w:ascii="仿宋_GB2312" w:hAnsi="仿宋_GB2312" w:eastAsia="仿宋_GB2312" w:cs="仿宋_GB2312"/>
          <w:spacing w:val="-6"/>
          <w:sz w:val="32"/>
          <w:highlight w:val="none"/>
          <w:lang w:val="en-US" w:eastAsia="zh-CN"/>
        </w:rPr>
        <w:t>收储后用地以现金和物业两种形式进行补偿，其中现金补偿不少于2000万元，现有建筑的搬迁补偿等费用在现金补偿款中支出；物业补偿不少于20163平方米国有产权性质工业厂房。</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spacing w:val="-6"/>
          <w:sz w:val="32"/>
          <w:lang w:val="en-US" w:eastAsia="zh-CN"/>
        </w:rPr>
      </w:pPr>
      <w:r>
        <w:rPr>
          <w:rFonts w:hint="eastAsia" w:ascii="仿宋_GB2312" w:hAnsi="仿宋_GB2312" w:eastAsia="仿宋_GB2312" w:cs="仿宋_GB2312"/>
          <w:spacing w:val="-6"/>
          <w:sz w:val="32"/>
          <w:lang w:val="en-US" w:eastAsia="zh-CN"/>
        </w:rPr>
        <w:t>3、土地竞得人100%返租物业（即返租面积不少于20163平方米，具体按实际补偿物业面积返租），自签订土地出让合同18个月内移交返建物业，自移交返建物业起计算返租年期及租金，返租期为10年，租金为12元/平方米/月，每5年递增10%。（如补偿物业提前完成确权登记移交，则起租时间相应提前）。</w:t>
      </w:r>
    </w:p>
    <w:p>
      <w:pPr>
        <w:widowControl w:val="0"/>
        <w:wordWrap/>
        <w:spacing w:line="500" w:lineRule="exact"/>
        <w:ind w:firstLine="616" w:firstLineChars="200"/>
        <w:rPr>
          <w:rFonts w:hint="eastAsia" w:ascii="仿宋_GB2312" w:hAnsi="仿宋_GB2312" w:eastAsia="仿宋_GB2312" w:cs="仿宋_GB2312"/>
          <w:b w:val="0"/>
          <w:bCs w:val="0"/>
          <w:spacing w:val="-6"/>
          <w:kern w:val="2"/>
          <w:sz w:val="32"/>
          <w:szCs w:val="24"/>
          <w:highlight w:val="none"/>
          <w:lang w:val="en-US" w:eastAsia="zh-CN"/>
        </w:rPr>
      </w:pPr>
      <w:r>
        <w:rPr>
          <w:rFonts w:hint="eastAsia" w:ascii="仿宋_GB2312" w:hAnsi="仿宋_GB2312" w:eastAsia="仿宋_GB2312" w:cs="仿宋_GB2312"/>
          <w:b w:val="0"/>
          <w:bCs w:val="0"/>
          <w:spacing w:val="-6"/>
          <w:kern w:val="2"/>
          <w:sz w:val="32"/>
          <w:szCs w:val="24"/>
          <w:highlight w:val="none"/>
          <w:lang w:val="en-US" w:eastAsia="zh-CN"/>
        </w:rPr>
        <w:t>上述补偿的工业厂房须办理不动产权证至</w:t>
      </w:r>
      <w:r>
        <w:rPr>
          <w:rFonts w:hint="eastAsia" w:ascii="仿宋_GB2312" w:hAnsi="仿宋_GB2312" w:eastAsia="仿宋_GB2312" w:cs="仿宋_GB2312"/>
          <w:spacing w:val="-6"/>
          <w:kern w:val="0"/>
          <w:sz w:val="32"/>
          <w:szCs w:val="32"/>
        </w:rPr>
        <w:t>中山市板芙镇</w:t>
      </w:r>
      <w:r>
        <w:rPr>
          <w:rFonts w:hint="eastAsia" w:ascii="仿宋_GB2312" w:hAnsi="仿宋_GB2312" w:eastAsia="仿宋_GB2312" w:cs="仿宋_GB2312"/>
          <w:spacing w:val="-6"/>
          <w:kern w:val="0"/>
          <w:sz w:val="32"/>
          <w:szCs w:val="32"/>
          <w:lang w:val="en-US" w:eastAsia="zh-CN"/>
        </w:rPr>
        <w:t>白溪村</w:t>
      </w:r>
      <w:r>
        <w:rPr>
          <w:rFonts w:hint="eastAsia" w:ascii="仿宋_GB2312" w:hAnsi="仿宋_GB2312" w:eastAsia="仿宋_GB2312" w:cs="仿宋_GB2312"/>
          <w:spacing w:val="-6"/>
          <w:kern w:val="0"/>
          <w:sz w:val="32"/>
          <w:szCs w:val="32"/>
          <w:lang w:eastAsia="zh-CN"/>
        </w:rPr>
        <w:t>经济</w:t>
      </w:r>
      <w:r>
        <w:rPr>
          <w:rFonts w:hint="eastAsia" w:ascii="仿宋_GB2312" w:hAnsi="仿宋_GB2312" w:eastAsia="仿宋_GB2312" w:cs="仿宋_GB2312"/>
          <w:spacing w:val="-6"/>
          <w:kern w:val="0"/>
          <w:sz w:val="32"/>
          <w:szCs w:val="32"/>
          <w:lang w:val="en-US" w:eastAsia="zh-CN"/>
        </w:rPr>
        <w:t>联合社</w:t>
      </w:r>
      <w:r>
        <w:rPr>
          <w:rFonts w:hint="eastAsia" w:ascii="仿宋_GB2312" w:hAnsi="仿宋_GB2312" w:eastAsia="仿宋_GB2312" w:cs="仿宋_GB2312"/>
          <w:b w:val="0"/>
          <w:bCs w:val="0"/>
          <w:spacing w:val="-6"/>
          <w:kern w:val="2"/>
          <w:sz w:val="32"/>
          <w:szCs w:val="24"/>
          <w:highlight w:val="none"/>
          <w:lang w:val="en-US" w:eastAsia="zh-CN"/>
        </w:rPr>
        <w:t>，产权转移产生的费用由改造主体承担。</w:t>
      </w:r>
    </w:p>
    <w:p>
      <w:pPr>
        <w:spacing w:line="574" w:lineRule="exact"/>
        <w:ind w:firstLine="616" w:firstLineChars="200"/>
        <w:rPr>
          <w:rFonts w:hint="eastAsia" w:ascii="黑体" w:hAnsi="黑体" w:eastAsia="黑体" w:cs="黑体"/>
          <w:spacing w:val="-6"/>
          <w:kern w:val="0"/>
          <w:sz w:val="32"/>
          <w:szCs w:val="32"/>
        </w:rPr>
      </w:pPr>
      <w:bookmarkStart w:id="2" w:name="_GoBack"/>
      <w:bookmarkEnd w:id="2"/>
      <w:r>
        <w:rPr>
          <w:rFonts w:hint="eastAsia" w:ascii="黑体" w:hAnsi="黑体" w:eastAsia="黑体" w:cs="黑体"/>
          <w:spacing w:val="-6"/>
          <w:kern w:val="0"/>
          <w:sz w:val="32"/>
          <w:szCs w:val="32"/>
        </w:rPr>
        <w:t>三、改造主体、办理用地手续</w:t>
      </w:r>
      <w:r>
        <w:rPr>
          <w:rFonts w:hint="eastAsia" w:ascii="黑体" w:hAnsi="黑体" w:eastAsia="黑体" w:cs="黑体"/>
          <w:spacing w:val="-6"/>
          <w:kern w:val="0"/>
          <w:sz w:val="32"/>
          <w:szCs w:val="32"/>
          <w:lang w:eastAsia="zh-CN"/>
        </w:rPr>
        <w:t>、土地供应</w:t>
      </w:r>
      <w:r>
        <w:rPr>
          <w:rFonts w:hint="eastAsia" w:ascii="黑体" w:hAnsi="黑体" w:eastAsia="黑体" w:cs="黑体"/>
          <w:spacing w:val="-6"/>
          <w:kern w:val="0"/>
          <w:sz w:val="32"/>
          <w:szCs w:val="32"/>
        </w:rPr>
        <w:t>及拟改造情况</w:t>
      </w:r>
    </w:p>
    <w:p>
      <w:pPr>
        <w:spacing w:line="574" w:lineRule="exact"/>
        <w:ind w:firstLine="616" w:firstLineChars="200"/>
        <w:rPr>
          <w:rFonts w:hint="eastAsia" w:ascii="仿宋_GB2312" w:hAnsi="仿宋_GB2312" w:eastAsia="仿宋_GB2312" w:cs="仿宋_GB2312"/>
          <w:spacing w:val="-6"/>
          <w:sz w:val="32"/>
        </w:rPr>
      </w:pPr>
      <w:r>
        <w:rPr>
          <w:rFonts w:hint="eastAsia" w:ascii="仿宋_GB2312" w:hAnsi="仿宋_GB2312" w:eastAsia="仿宋_GB2312" w:cs="仿宋_GB2312"/>
          <w:spacing w:val="-6"/>
          <w:sz w:val="32"/>
        </w:rPr>
        <w:t>根据有关规划要求，改造项目严格按照</w:t>
      </w:r>
      <w:r>
        <w:rPr>
          <w:rFonts w:hint="eastAsia" w:ascii="仿宋_GB2312" w:hAnsi="仿宋_GB2312" w:eastAsia="仿宋_GB2312" w:cs="仿宋_GB2312"/>
          <w:spacing w:val="-6"/>
          <w:sz w:val="32"/>
          <w:lang w:val="en-US" w:eastAsia="zh-CN"/>
        </w:rPr>
        <w:t>国土空间总体规划</w:t>
      </w:r>
      <w:r>
        <w:rPr>
          <w:rFonts w:hint="eastAsia" w:ascii="仿宋_GB2312" w:hAnsi="仿宋_GB2312" w:eastAsia="仿宋_GB2312" w:cs="仿宋_GB2312"/>
          <w:spacing w:val="-6"/>
          <w:sz w:val="32"/>
        </w:rPr>
        <w:t>、《中山市板芙镇工业用地规划条件论证报告》（中府函〔2022〕237 号）管控要求实施建设。</w:t>
      </w:r>
    </w:p>
    <w:p>
      <w:pPr>
        <w:spacing w:line="574" w:lineRule="exact"/>
        <w:ind w:firstLine="616"/>
        <w:rPr>
          <w:rFonts w:ascii="楷体" w:hAnsi="楷体" w:eastAsia="楷体" w:cs="楷体"/>
          <w:spacing w:val="-6"/>
          <w:kern w:val="0"/>
          <w:sz w:val="32"/>
          <w:szCs w:val="32"/>
        </w:rPr>
      </w:pPr>
      <w:r>
        <w:rPr>
          <w:rFonts w:hint="eastAsia" w:ascii="楷体" w:hAnsi="楷体" w:eastAsia="楷体" w:cs="楷体"/>
          <w:spacing w:val="-6"/>
          <w:kern w:val="0"/>
          <w:sz w:val="32"/>
          <w:szCs w:val="32"/>
        </w:rPr>
        <w:t>（一）改造主体</w:t>
      </w:r>
    </w:p>
    <w:p>
      <w:pPr>
        <w:spacing w:line="574" w:lineRule="exact"/>
        <w:ind w:firstLine="616" w:firstLineChars="200"/>
        <w:rPr>
          <w:rFonts w:hint="eastAsia" w:ascii="仿宋_GB2312" w:hAnsi="仿宋_GB2312" w:eastAsia="仿宋_GB2312" w:cs="仿宋_GB2312"/>
          <w:spacing w:val="-6"/>
          <w:sz w:val="32"/>
        </w:rPr>
      </w:pPr>
      <w:r>
        <w:rPr>
          <w:rFonts w:hint="eastAsia" w:ascii="仿宋_GB2312" w:hAnsi="仿宋_GB2312" w:eastAsia="仿宋_GB2312" w:cs="仿宋_GB2312"/>
          <w:spacing w:val="-6"/>
          <w:sz w:val="32"/>
        </w:rPr>
        <w:t>该改造项目属</w:t>
      </w:r>
      <w:r>
        <w:rPr>
          <w:rFonts w:hint="eastAsia" w:ascii="仿宋_GB2312" w:hAnsi="仿宋_GB2312" w:eastAsia="仿宋_GB2312" w:cs="仿宋_GB2312"/>
          <w:spacing w:val="-6"/>
          <w:sz w:val="32"/>
          <w:lang w:eastAsia="zh-CN"/>
        </w:rPr>
        <w:t>“</w:t>
      </w:r>
      <w:r>
        <w:rPr>
          <w:rFonts w:hint="eastAsia" w:ascii="仿宋_GB2312" w:hAnsi="仿宋_GB2312" w:eastAsia="仿宋_GB2312" w:cs="仿宋_GB2312"/>
          <w:spacing w:val="-6"/>
          <w:sz w:val="32"/>
        </w:rPr>
        <w:t>工改工</w:t>
      </w:r>
      <w:r>
        <w:rPr>
          <w:rFonts w:hint="eastAsia" w:ascii="仿宋_GB2312" w:hAnsi="仿宋_GB2312" w:eastAsia="仿宋_GB2312" w:cs="仿宋_GB2312"/>
          <w:spacing w:val="-6"/>
          <w:sz w:val="32"/>
          <w:lang w:eastAsia="zh-CN"/>
        </w:rPr>
        <w:t>”</w:t>
      </w:r>
      <w:r>
        <w:rPr>
          <w:rFonts w:hint="eastAsia" w:ascii="仿宋_GB2312" w:hAnsi="仿宋_GB2312" w:eastAsia="仿宋_GB2312" w:cs="仿宋_GB2312"/>
          <w:spacing w:val="-6"/>
          <w:sz w:val="32"/>
        </w:rPr>
        <w:t>宗地项目，拟采取政府</w:t>
      </w:r>
      <w:r>
        <w:rPr>
          <w:rFonts w:hint="eastAsia" w:ascii="仿宋_GB2312" w:hAnsi="仿宋_GB2312" w:eastAsia="仿宋_GB2312" w:cs="仿宋_GB2312"/>
          <w:spacing w:val="-6"/>
          <w:sz w:val="32"/>
          <w:lang w:eastAsia="zh-CN"/>
        </w:rPr>
        <w:t>整备（</w:t>
      </w:r>
      <w:r>
        <w:rPr>
          <w:rFonts w:hint="eastAsia" w:ascii="仿宋_GB2312" w:hAnsi="仿宋_GB2312" w:eastAsia="仿宋_GB2312" w:cs="仿宋_GB2312"/>
          <w:spacing w:val="-6"/>
          <w:sz w:val="32"/>
        </w:rPr>
        <w:t>收储</w:t>
      </w:r>
      <w:r>
        <w:rPr>
          <w:rFonts w:hint="eastAsia" w:ascii="仿宋_GB2312" w:hAnsi="仿宋_GB2312" w:eastAsia="仿宋_GB2312" w:cs="仿宋_GB2312"/>
          <w:spacing w:val="-6"/>
          <w:sz w:val="32"/>
          <w:lang w:eastAsia="zh-CN"/>
        </w:rPr>
        <w:t>）改造</w:t>
      </w:r>
      <w:r>
        <w:rPr>
          <w:rFonts w:hint="eastAsia" w:ascii="仿宋_GB2312" w:hAnsi="仿宋_GB2312" w:eastAsia="仿宋_GB2312" w:cs="仿宋_GB2312"/>
          <w:spacing w:val="-6"/>
          <w:sz w:val="32"/>
        </w:rPr>
        <w:t>方式</w:t>
      </w:r>
      <w:r>
        <w:rPr>
          <w:rFonts w:hint="eastAsia" w:ascii="仿宋_GB2312" w:hAnsi="仿宋_GB2312" w:eastAsia="仿宋_GB2312" w:cs="仿宋_GB2312"/>
          <w:spacing w:val="-6"/>
          <w:sz w:val="32"/>
          <w:lang w:eastAsia="zh-CN"/>
        </w:rPr>
        <w:t>，</w:t>
      </w:r>
      <w:r>
        <w:rPr>
          <w:rFonts w:hint="eastAsia" w:ascii="仿宋_GB2312" w:hAnsi="仿宋_GB2312" w:eastAsia="仿宋_GB2312" w:cs="仿宋_GB2312"/>
          <w:spacing w:val="-6"/>
          <w:sz w:val="32"/>
        </w:rPr>
        <w:t>由中山市板芙镇人民政府</w:t>
      </w:r>
      <w:r>
        <w:rPr>
          <w:rFonts w:hint="eastAsia" w:ascii="仿宋_GB2312" w:hAnsi="仿宋_GB2312" w:eastAsia="仿宋_GB2312" w:cs="仿宋_GB2312"/>
          <w:spacing w:val="-6"/>
          <w:sz w:val="32"/>
          <w:lang w:eastAsia="zh-CN"/>
        </w:rPr>
        <w:t>联合</w:t>
      </w:r>
      <w:r>
        <w:rPr>
          <w:rFonts w:hint="eastAsia" w:ascii="仿宋_GB2312" w:hAnsi="仿宋_GB2312" w:eastAsia="仿宋_GB2312" w:cs="仿宋_GB2312"/>
          <w:spacing w:val="-6"/>
          <w:sz w:val="32"/>
          <w:szCs w:val="24"/>
          <w:highlight w:val="none"/>
          <w:lang w:eastAsia="zh-CN"/>
        </w:rPr>
        <w:t>中山市土地储备中心收储后，</w:t>
      </w:r>
      <w:r>
        <w:rPr>
          <w:rFonts w:hint="eastAsia" w:ascii="仿宋_GB2312" w:hAnsi="仿宋_GB2312" w:eastAsia="仿宋_GB2312" w:cs="仿宋_GB2312"/>
          <w:spacing w:val="-6"/>
          <w:sz w:val="32"/>
        </w:rPr>
        <w:t>通过公开</w:t>
      </w:r>
      <w:r>
        <w:rPr>
          <w:rFonts w:hint="eastAsia" w:ascii="仿宋_GB2312" w:hAnsi="仿宋_GB2312" w:eastAsia="仿宋_GB2312" w:cs="仿宋_GB2312"/>
          <w:spacing w:val="-6"/>
          <w:sz w:val="32"/>
          <w:lang w:val="en-US" w:eastAsia="zh-CN"/>
        </w:rPr>
        <w:t>出让</w:t>
      </w:r>
      <w:r>
        <w:rPr>
          <w:rFonts w:hint="eastAsia" w:ascii="仿宋_GB2312" w:hAnsi="仿宋_GB2312" w:eastAsia="仿宋_GB2312" w:cs="仿宋_GB2312"/>
          <w:spacing w:val="-6"/>
          <w:sz w:val="32"/>
        </w:rPr>
        <w:t>方式确定改造主体实施全面改造。</w:t>
      </w:r>
    </w:p>
    <w:p>
      <w:pPr>
        <w:numPr>
          <w:ilvl w:val="0"/>
          <w:numId w:val="0"/>
        </w:numPr>
        <w:spacing w:line="574" w:lineRule="exact"/>
        <w:ind w:left="600" w:leftChars="0" w:firstLine="0" w:firstLineChars="0"/>
        <w:outlineLvl w:val="2"/>
        <w:rPr>
          <w:rFonts w:hint="eastAsia" w:ascii="楷体" w:hAnsi="楷体" w:eastAsia="楷体" w:cs="楷体"/>
          <w:spacing w:val="-6"/>
          <w:kern w:val="0"/>
          <w:sz w:val="32"/>
          <w:szCs w:val="32"/>
        </w:rPr>
      </w:pPr>
      <w:bookmarkStart w:id="0" w:name="_Toc106128758"/>
      <w:r>
        <w:rPr>
          <w:rFonts w:hint="eastAsia" w:ascii="楷体" w:hAnsi="楷体" w:eastAsia="楷体" w:cs="楷体"/>
          <w:spacing w:val="-6"/>
          <w:kern w:val="0"/>
          <w:sz w:val="32"/>
          <w:szCs w:val="32"/>
          <w:lang w:eastAsia="zh-CN"/>
        </w:rPr>
        <w:t>（二）</w:t>
      </w:r>
      <w:r>
        <w:rPr>
          <w:rFonts w:hint="eastAsia" w:ascii="楷体" w:hAnsi="楷体" w:eastAsia="楷体" w:cs="楷体"/>
          <w:spacing w:val="-6"/>
          <w:kern w:val="0"/>
          <w:sz w:val="32"/>
          <w:szCs w:val="32"/>
        </w:rPr>
        <w:t>需办理的用地手续</w:t>
      </w:r>
      <w:bookmarkEnd w:id="0"/>
    </w:p>
    <w:p>
      <w:pPr>
        <w:spacing w:line="574" w:lineRule="exact"/>
        <w:ind w:firstLine="616" w:firstLineChars="200"/>
        <w:rPr>
          <w:rFonts w:hint="eastAsia" w:ascii="仿宋_GB2312" w:hAnsi="仿宋_GB2312" w:eastAsia="仿宋_GB2312" w:cs="仿宋_GB2312"/>
          <w:spacing w:val="-6"/>
          <w:sz w:val="32"/>
          <w:szCs w:val="24"/>
          <w:highlight w:val="none"/>
        </w:rPr>
      </w:pPr>
      <w:r>
        <w:rPr>
          <w:rFonts w:hint="eastAsia" w:ascii="仿宋_GB2312" w:hAnsi="仿宋_GB2312" w:eastAsia="仿宋_GB2312" w:cs="仿宋_GB2312"/>
          <w:spacing w:val="-6"/>
          <w:sz w:val="32"/>
          <w:szCs w:val="24"/>
          <w:highlight w:val="none"/>
        </w:rPr>
        <w:t>改造范围内</w:t>
      </w:r>
      <w:r>
        <w:rPr>
          <w:rFonts w:hint="eastAsia" w:ascii="仿宋_GB2312" w:hAnsi="仿宋_GB2312" w:eastAsia="仿宋_GB2312" w:cs="仿宋_GB2312"/>
          <w:spacing w:val="-6"/>
          <w:sz w:val="32"/>
          <w:szCs w:val="24"/>
          <w:highlight w:val="none"/>
          <w:lang w:eastAsia="zh-CN"/>
        </w:rPr>
        <w:t>地块面积合计</w:t>
      </w:r>
      <w:r>
        <w:rPr>
          <w:rFonts w:hint="eastAsia" w:ascii="仿宋_GB2312" w:hAnsi="仿宋_GB2312" w:eastAsia="仿宋_GB2312" w:cs="仿宋_GB2312"/>
          <w:spacing w:val="-6"/>
          <w:sz w:val="32"/>
          <w:szCs w:val="32"/>
          <w:lang w:val="en-US" w:eastAsia="zh-CN"/>
        </w:rPr>
        <w:t>4.00</w:t>
      </w:r>
      <w:r>
        <w:rPr>
          <w:rFonts w:hint="eastAsia" w:ascii="仿宋_GB2312" w:hAnsi="仿宋_GB2312" w:eastAsia="仿宋_GB2312" w:cs="仿宋_GB2312"/>
          <w:spacing w:val="-6"/>
          <w:sz w:val="32"/>
          <w:szCs w:val="32"/>
          <w:lang w:eastAsia="zh-CN"/>
        </w:rPr>
        <w:t>公顷（39966.6</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lang w:eastAsia="zh-CN"/>
        </w:rPr>
        <w:t>平方米，折合约59.9</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亩）</w:t>
      </w:r>
      <w:r>
        <w:rPr>
          <w:rFonts w:hint="eastAsia" w:ascii="仿宋_GB2312" w:hAnsi="仿宋_GB2312" w:eastAsia="仿宋_GB2312" w:cs="仿宋_GB2312"/>
          <w:spacing w:val="-6"/>
          <w:sz w:val="32"/>
          <w:szCs w:val="24"/>
          <w:highlight w:val="none"/>
        </w:rPr>
        <w:t>用地</w:t>
      </w:r>
      <w:r>
        <w:rPr>
          <w:rFonts w:hint="eastAsia" w:ascii="仿宋_GB2312" w:hAnsi="仿宋_GB2312" w:eastAsia="仿宋_GB2312" w:cs="仿宋_GB2312"/>
          <w:spacing w:val="-6"/>
          <w:sz w:val="32"/>
          <w:szCs w:val="24"/>
          <w:highlight w:val="none"/>
          <w:lang w:eastAsia="zh-CN"/>
        </w:rPr>
        <w:t>需由中山市土地储备中心、板芙镇人民政府按《中山市存量土地收储实施方案》（中山自然资函〔2023〕812号）、《中山市村镇低效工业园改造升级有关土地征收收回指引》（中山工改发〔2022〕7号）等符合“工改”政策的规定进行</w:t>
      </w:r>
      <w:r>
        <w:rPr>
          <w:rFonts w:hint="eastAsia" w:ascii="仿宋_GB2312" w:hAnsi="仿宋_GB2312" w:eastAsia="仿宋_GB2312" w:cs="仿宋_GB2312"/>
          <w:color w:val="auto"/>
          <w:spacing w:val="-6"/>
          <w:sz w:val="32"/>
          <w:szCs w:val="24"/>
          <w:highlight w:val="none"/>
          <w:lang w:eastAsia="zh-CN"/>
        </w:rPr>
        <w:t>联合收储</w:t>
      </w:r>
      <w:r>
        <w:rPr>
          <w:rFonts w:hint="eastAsia" w:ascii="仿宋_GB2312" w:hAnsi="仿宋_GB2312" w:eastAsia="仿宋_GB2312" w:cs="仿宋_GB2312"/>
          <w:spacing w:val="-6"/>
          <w:sz w:val="32"/>
          <w:highlight w:val="none"/>
          <w:lang w:eastAsia="zh-CN"/>
        </w:rPr>
        <w:t>。</w:t>
      </w:r>
    </w:p>
    <w:p>
      <w:pPr>
        <w:numPr>
          <w:ilvl w:val="0"/>
          <w:numId w:val="1"/>
        </w:numPr>
        <w:spacing w:line="574" w:lineRule="exact"/>
        <w:ind w:left="0" w:leftChars="0" w:firstLine="616" w:firstLineChars="200"/>
        <w:outlineLvl w:val="2"/>
        <w:rPr>
          <w:rFonts w:hint="eastAsia" w:ascii="楷体" w:hAnsi="楷体" w:eastAsia="楷体" w:cs="楷体"/>
          <w:spacing w:val="-6"/>
          <w:kern w:val="0"/>
          <w:sz w:val="32"/>
          <w:szCs w:val="32"/>
          <w:lang w:eastAsia="zh-CN"/>
        </w:rPr>
      </w:pPr>
      <w:r>
        <w:rPr>
          <w:rFonts w:hint="eastAsia" w:ascii="楷体" w:hAnsi="楷体" w:eastAsia="楷体" w:cs="楷体"/>
          <w:spacing w:val="-6"/>
          <w:kern w:val="0"/>
          <w:sz w:val="32"/>
          <w:szCs w:val="32"/>
          <w:lang w:eastAsia="zh-CN"/>
        </w:rPr>
        <w:t>土地供应</w:t>
      </w:r>
    </w:p>
    <w:p>
      <w:pPr>
        <w:numPr>
          <w:ilvl w:val="0"/>
          <w:numId w:val="0"/>
        </w:numPr>
        <w:spacing w:line="574" w:lineRule="exact"/>
        <w:ind w:firstLine="616" w:firstLineChars="200"/>
        <w:outlineLvl w:val="2"/>
        <w:rPr>
          <w:rFonts w:hint="default" w:ascii="仿宋_GB2312" w:hAnsi="仿宋_GB2312" w:eastAsia="仿宋_GB2312" w:cs="仿宋_GB2312"/>
          <w:color w:val="FF0000"/>
          <w:spacing w:val="-6"/>
          <w:sz w:val="32"/>
          <w:lang w:val="en-US" w:eastAsia="zh-CN"/>
        </w:rPr>
      </w:pPr>
      <w:r>
        <w:rPr>
          <w:rFonts w:hint="eastAsia" w:ascii="仿宋_GB2312" w:hAnsi="仿宋_GB2312" w:eastAsia="仿宋_GB2312" w:cs="仿宋_GB2312"/>
          <w:color w:val="auto"/>
          <w:spacing w:val="-6"/>
          <w:sz w:val="32"/>
          <w:szCs w:val="32"/>
          <w:highlight w:val="none"/>
          <w:lang w:val="en-US" w:eastAsia="zh-CN"/>
        </w:rPr>
        <w:t>改造地块全部交由政府整备（收储）后，由板芙镇人民政府根据《中山市板芙镇工业用地规划条件论证报告》（中府函〔2022〕237 号）进行土地供应，其中规划为</w:t>
      </w:r>
      <w:r>
        <w:rPr>
          <w:rFonts w:hint="eastAsia" w:ascii="仿宋_GB2312" w:hAnsi="仿宋_GB2312" w:eastAsia="仿宋_GB2312" w:cs="仿宋_GB2312"/>
          <w:spacing w:val="-6"/>
          <w:kern w:val="0"/>
          <w:sz w:val="32"/>
          <w:szCs w:val="32"/>
          <w:lang w:val="en-US" w:eastAsia="zh-CN"/>
        </w:rPr>
        <w:t>二</w:t>
      </w:r>
      <w:r>
        <w:rPr>
          <w:rFonts w:hint="eastAsia" w:ascii="仿宋_GB2312" w:hAnsi="仿宋_GB2312" w:eastAsia="仿宋_GB2312" w:cs="仿宋_GB2312"/>
          <w:spacing w:val="-6"/>
          <w:kern w:val="0"/>
          <w:sz w:val="32"/>
          <w:szCs w:val="32"/>
        </w:rPr>
        <w:t>类工业用地</w:t>
      </w:r>
      <w:r>
        <w:rPr>
          <w:rFonts w:hint="eastAsia" w:ascii="仿宋_GB2312" w:hAnsi="仿宋_GB2312" w:eastAsia="仿宋_GB2312" w:cs="仿宋_GB2312"/>
          <w:spacing w:val="-6"/>
          <w:kern w:val="0"/>
          <w:sz w:val="32"/>
          <w:szCs w:val="32"/>
          <w:lang w:val="en-US" w:eastAsia="zh-CN"/>
        </w:rPr>
        <w:t>的3.85</w:t>
      </w:r>
      <w:r>
        <w:rPr>
          <w:rFonts w:hint="eastAsia" w:ascii="仿宋_GB2312" w:hAnsi="仿宋_GB2312" w:eastAsia="仿宋_GB2312" w:cs="仿宋_GB2312"/>
          <w:spacing w:val="-6"/>
          <w:kern w:val="0"/>
          <w:sz w:val="32"/>
          <w:szCs w:val="32"/>
        </w:rPr>
        <w:t>公顷（38501.35平方米，折合约</w:t>
      </w:r>
      <w:r>
        <w:rPr>
          <w:rFonts w:hint="eastAsia" w:ascii="仿宋_GB2312" w:hAnsi="仿宋_GB2312" w:eastAsia="仿宋_GB2312" w:cs="仿宋_GB2312"/>
          <w:spacing w:val="-6"/>
          <w:kern w:val="0"/>
          <w:sz w:val="32"/>
          <w:szCs w:val="32"/>
          <w:lang w:val="en-US" w:eastAsia="zh-CN"/>
        </w:rPr>
        <w:t>57.75</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通过公开出让确定改造主体，规划为0.15公顷（1465.31平方米，折合2.20亩）的道路用地划</w:t>
      </w:r>
      <w:r>
        <w:rPr>
          <w:rFonts w:hint="eastAsia" w:ascii="仿宋_GB2312" w:hAnsi="仿宋_GB2312" w:eastAsia="仿宋_GB2312" w:cs="仿宋_GB2312"/>
          <w:color w:val="auto"/>
          <w:spacing w:val="-6"/>
          <w:sz w:val="32"/>
          <w:szCs w:val="32"/>
          <w:highlight w:val="none"/>
          <w:lang w:val="en-US" w:eastAsia="zh-CN"/>
        </w:rPr>
        <w:t>拨至板芙镇人民政府</w:t>
      </w:r>
      <w:r>
        <w:rPr>
          <w:rFonts w:hint="eastAsia" w:ascii="仿宋_GB2312" w:hAnsi="仿宋_GB2312" w:eastAsia="仿宋_GB2312" w:cs="仿宋_GB2312"/>
          <w:color w:val="FF0000"/>
          <w:spacing w:val="-6"/>
          <w:sz w:val="32"/>
          <w:lang w:val="en-US" w:eastAsia="zh-CN"/>
        </w:rPr>
        <w:t>。</w:t>
      </w:r>
    </w:p>
    <w:p>
      <w:pPr>
        <w:spacing w:line="574" w:lineRule="exact"/>
        <w:ind w:firstLine="616"/>
        <w:outlineLvl w:val="2"/>
        <w:rPr>
          <w:rFonts w:ascii="楷体" w:hAnsi="楷体" w:eastAsia="楷体" w:cs="楷体"/>
          <w:spacing w:val="-6"/>
          <w:kern w:val="0"/>
          <w:sz w:val="32"/>
          <w:szCs w:val="32"/>
        </w:rPr>
      </w:pPr>
      <w:bookmarkStart w:id="1" w:name="_Toc106128759"/>
      <w:r>
        <w:rPr>
          <w:rFonts w:hint="eastAsia" w:ascii="楷体" w:hAnsi="楷体" w:eastAsia="楷体" w:cs="楷体"/>
          <w:spacing w:val="-6"/>
          <w:kern w:val="0"/>
          <w:sz w:val="32"/>
          <w:szCs w:val="32"/>
        </w:rPr>
        <w:t>（</w:t>
      </w:r>
      <w:r>
        <w:rPr>
          <w:rFonts w:hint="eastAsia" w:ascii="楷体" w:hAnsi="楷体" w:eastAsia="楷体" w:cs="楷体"/>
          <w:spacing w:val="-6"/>
          <w:kern w:val="0"/>
          <w:sz w:val="32"/>
          <w:szCs w:val="32"/>
          <w:lang w:eastAsia="zh-CN"/>
        </w:rPr>
        <w:t>四</w:t>
      </w:r>
      <w:r>
        <w:rPr>
          <w:rFonts w:hint="eastAsia" w:ascii="楷体" w:hAnsi="楷体" w:eastAsia="楷体" w:cs="楷体"/>
          <w:spacing w:val="-6"/>
          <w:kern w:val="0"/>
          <w:sz w:val="32"/>
          <w:szCs w:val="32"/>
        </w:rPr>
        <w:t>）拟改造情况</w:t>
      </w:r>
      <w:bookmarkEnd w:id="1"/>
    </w:p>
    <w:p>
      <w:pPr>
        <w:spacing w:line="574" w:lineRule="exact"/>
        <w:ind w:firstLine="616" w:firstLineChars="200"/>
        <w:rPr>
          <w:rFonts w:hint="eastAsia" w:ascii="仿宋_GB2312" w:hAnsi="仿宋_GB2312" w:eastAsia="仿宋_GB2312" w:cs="仿宋_GB2312"/>
          <w:color w:val="auto"/>
          <w:spacing w:val="-6"/>
          <w:sz w:val="32"/>
          <w:highlight w:val="none"/>
        </w:rPr>
      </w:pPr>
      <w:r>
        <w:rPr>
          <w:rFonts w:hint="eastAsia" w:ascii="仿宋_GB2312" w:hAnsi="仿宋_GB2312" w:eastAsia="仿宋_GB2312" w:cs="仿宋_GB2312"/>
          <w:color w:val="auto"/>
          <w:spacing w:val="-6"/>
          <w:sz w:val="32"/>
          <w:szCs w:val="32"/>
          <w:highlight w:val="none"/>
        </w:rPr>
        <w:t>公开出让的</w:t>
      </w:r>
      <w:r>
        <w:rPr>
          <w:rFonts w:hint="eastAsia" w:ascii="仿宋_GB2312" w:hAnsi="仿宋_GB2312" w:eastAsia="仿宋_GB2312" w:cs="仿宋_GB2312"/>
          <w:color w:val="auto"/>
          <w:spacing w:val="-6"/>
          <w:kern w:val="0"/>
          <w:sz w:val="32"/>
          <w:szCs w:val="32"/>
          <w:highlight w:val="none"/>
          <w:lang w:val="en-US" w:eastAsia="zh-CN"/>
        </w:rPr>
        <w:t>3.85</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color w:val="auto"/>
          <w:spacing w:val="-6"/>
          <w:kern w:val="0"/>
          <w:sz w:val="32"/>
          <w:szCs w:val="32"/>
          <w:highlight w:val="none"/>
          <w:lang w:val="en-US" w:eastAsia="zh-CN"/>
        </w:rPr>
        <w:t>3</w:t>
      </w:r>
      <w:r>
        <w:rPr>
          <w:rFonts w:hint="eastAsia" w:ascii="仿宋_GB2312" w:hAnsi="仿宋_GB2312" w:eastAsia="仿宋_GB2312" w:cs="仿宋_GB2312"/>
          <w:spacing w:val="-6"/>
          <w:kern w:val="0"/>
          <w:sz w:val="32"/>
          <w:szCs w:val="32"/>
        </w:rPr>
        <w:t>8501.35平方米，折合约</w:t>
      </w:r>
      <w:r>
        <w:rPr>
          <w:rFonts w:hint="eastAsia" w:ascii="仿宋_GB2312" w:hAnsi="仿宋_GB2312" w:eastAsia="仿宋_GB2312" w:cs="仿宋_GB2312"/>
          <w:spacing w:val="-6"/>
          <w:kern w:val="0"/>
          <w:sz w:val="32"/>
          <w:szCs w:val="32"/>
          <w:lang w:val="en-US" w:eastAsia="zh-CN"/>
        </w:rPr>
        <w:t>57.75</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sz w:val="32"/>
          <w:szCs w:val="32"/>
          <w:highlight w:val="none"/>
        </w:rPr>
        <w:t>规划</w:t>
      </w:r>
      <w:r>
        <w:rPr>
          <w:rFonts w:hint="eastAsia" w:ascii="仿宋_GB2312" w:hAnsi="仿宋_GB2312" w:eastAsia="仿宋_GB2312" w:cs="仿宋_GB2312"/>
          <w:color w:val="auto"/>
          <w:spacing w:val="-6"/>
          <w:sz w:val="32"/>
          <w:szCs w:val="32"/>
          <w:highlight w:val="none"/>
          <w:lang w:val="en-US" w:eastAsia="zh-CN"/>
        </w:rPr>
        <w:t>二</w:t>
      </w:r>
      <w:r>
        <w:rPr>
          <w:rFonts w:hint="eastAsia" w:ascii="仿宋_GB2312" w:hAnsi="仿宋_GB2312" w:eastAsia="仿宋_GB2312" w:cs="仿宋_GB2312"/>
          <w:color w:val="auto"/>
          <w:spacing w:val="-6"/>
          <w:sz w:val="32"/>
          <w:szCs w:val="32"/>
          <w:highlight w:val="none"/>
        </w:rPr>
        <w:t>类工业用地，</w:t>
      </w:r>
      <w:r>
        <w:rPr>
          <w:rFonts w:hint="eastAsia" w:ascii="仿宋_GB2312" w:hAnsi="仿宋_GB2312" w:eastAsia="仿宋_GB2312" w:cs="仿宋_GB2312"/>
          <w:color w:val="auto"/>
          <w:spacing w:val="-6"/>
          <w:sz w:val="32"/>
          <w:szCs w:val="32"/>
          <w:highlight w:val="none"/>
          <w:lang w:eastAsia="zh-CN"/>
        </w:rPr>
        <w:t>由板芙镇人民政府通过公开方式确定改造主体，</w:t>
      </w:r>
      <w:r>
        <w:rPr>
          <w:rFonts w:hint="eastAsia" w:ascii="仿宋_GB2312" w:hAnsi="仿宋_GB2312" w:eastAsia="仿宋_GB2312" w:cs="仿宋_GB2312"/>
          <w:color w:val="auto"/>
          <w:spacing w:val="-6"/>
          <w:sz w:val="32"/>
          <w:szCs w:val="32"/>
          <w:highlight w:val="none"/>
        </w:rPr>
        <w:t>改造后将用于工业用</w:t>
      </w:r>
      <w:r>
        <w:rPr>
          <w:rFonts w:hint="eastAsia" w:ascii="仿宋_GB2312" w:hAnsi="仿宋_GB2312" w:eastAsia="仿宋_GB2312" w:cs="仿宋_GB2312"/>
          <w:color w:val="auto"/>
          <w:spacing w:val="-6"/>
          <w:sz w:val="32"/>
          <w:highlight w:val="none"/>
        </w:rPr>
        <w:t>途，引入先进装备制造、电子信息、智能家居、新材料、智能制造、精密仪器等产业类型</w:t>
      </w:r>
      <w:r>
        <w:rPr>
          <w:rFonts w:hint="eastAsia" w:ascii="仿宋_GB2312" w:hAnsi="仿宋_GB2312" w:eastAsia="仿宋_GB2312" w:cs="仿宋_GB2312"/>
          <w:color w:val="auto"/>
          <w:spacing w:val="-6"/>
          <w:sz w:val="32"/>
          <w:highlight w:val="none"/>
          <w:lang w:eastAsia="zh-CN"/>
        </w:rPr>
        <w:t>，具体</w:t>
      </w:r>
      <w:r>
        <w:rPr>
          <w:rFonts w:hint="eastAsia" w:ascii="仿宋_GB2312" w:hAnsi="仿宋_GB2312" w:eastAsia="仿宋_GB2312" w:cs="仿宋_GB2312"/>
          <w:color w:val="auto"/>
          <w:spacing w:val="-6"/>
          <w:kern w:val="0"/>
          <w:sz w:val="32"/>
          <w:szCs w:val="32"/>
          <w:highlight w:val="none"/>
        </w:rPr>
        <w:t>建设内容以签订的土地使用权出让合同</w:t>
      </w:r>
      <w:r>
        <w:rPr>
          <w:rFonts w:hint="eastAsia" w:ascii="仿宋_GB2312" w:hAnsi="仿宋_GB2312" w:eastAsia="仿宋_GB2312" w:cs="仿宋_GB2312"/>
          <w:color w:val="auto"/>
          <w:spacing w:val="-6"/>
          <w:kern w:val="0"/>
          <w:sz w:val="32"/>
          <w:szCs w:val="32"/>
          <w:highlight w:val="none"/>
          <w:lang w:eastAsia="zh-CN"/>
        </w:rPr>
        <w:t>及监管协议约定为准</w:t>
      </w:r>
      <w:r>
        <w:rPr>
          <w:rFonts w:hint="eastAsia" w:ascii="仿宋_GB2312" w:hAnsi="仿宋_GB2312" w:eastAsia="仿宋_GB2312" w:cs="仿宋_GB2312"/>
          <w:color w:val="auto"/>
          <w:spacing w:val="-6"/>
          <w:sz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资金筹措</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公开出让的</w:t>
      </w:r>
      <w:r>
        <w:rPr>
          <w:rFonts w:hint="eastAsia" w:ascii="仿宋_GB2312" w:hAnsi="仿宋_GB2312" w:eastAsia="仿宋_GB2312" w:cs="仿宋_GB2312"/>
          <w:color w:val="auto"/>
          <w:spacing w:val="-6"/>
          <w:kern w:val="0"/>
          <w:sz w:val="32"/>
          <w:szCs w:val="32"/>
          <w:highlight w:val="none"/>
          <w:lang w:val="en-US" w:eastAsia="zh-CN"/>
        </w:rPr>
        <w:t>3.85</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spacing w:val="-6"/>
          <w:kern w:val="0"/>
          <w:sz w:val="32"/>
          <w:szCs w:val="32"/>
        </w:rPr>
        <w:t>38501.35</w:t>
      </w:r>
      <w:r>
        <w:rPr>
          <w:rFonts w:hint="eastAsia" w:ascii="仿宋_GB2312" w:hAnsi="仿宋_GB2312" w:eastAsia="仿宋_GB2312" w:cs="仿宋_GB2312"/>
          <w:color w:val="auto"/>
          <w:spacing w:val="-6"/>
          <w:kern w:val="0"/>
          <w:sz w:val="32"/>
          <w:szCs w:val="32"/>
          <w:highlight w:val="none"/>
        </w:rPr>
        <w:t>平方米，折合约</w:t>
      </w:r>
      <w:r>
        <w:rPr>
          <w:rFonts w:hint="eastAsia" w:ascii="仿宋_GB2312" w:hAnsi="仿宋_GB2312" w:eastAsia="仿宋_GB2312" w:cs="仿宋_GB2312"/>
          <w:color w:val="auto"/>
          <w:spacing w:val="-6"/>
          <w:kern w:val="0"/>
          <w:sz w:val="32"/>
          <w:szCs w:val="32"/>
          <w:highlight w:val="none"/>
          <w:lang w:val="en-US" w:eastAsia="zh-CN"/>
        </w:rPr>
        <w:t>57.75</w:t>
      </w:r>
      <w:r>
        <w:rPr>
          <w:rFonts w:hint="eastAsia" w:ascii="仿宋_GB2312" w:hAnsi="仿宋_GB2312" w:eastAsia="仿宋_GB2312" w:cs="仿宋_GB2312"/>
          <w:color w:val="auto"/>
          <w:spacing w:val="-6"/>
          <w:kern w:val="0"/>
          <w:sz w:val="32"/>
          <w:szCs w:val="32"/>
          <w:highlight w:val="none"/>
        </w:rPr>
        <w:t>亩）</w:t>
      </w:r>
      <w:r>
        <w:rPr>
          <w:rFonts w:hint="eastAsia" w:ascii="仿宋_GB2312" w:hAnsi="仿宋_GB2312" w:eastAsia="仿宋_GB2312" w:cs="仿宋_GB2312"/>
          <w:color w:val="auto"/>
          <w:spacing w:val="-6"/>
          <w:sz w:val="32"/>
          <w:szCs w:val="32"/>
          <w:highlight w:val="none"/>
          <w:lang w:val="en-US" w:eastAsia="zh-CN"/>
        </w:rPr>
        <w:t>规划为二类工业用地，投资强度以土地使用权出让合同及监管协议</w:t>
      </w:r>
      <w:r>
        <w:rPr>
          <w:rFonts w:hint="eastAsia" w:ascii="仿宋_GB2312" w:hAnsi="仿宋_GB2312" w:eastAsia="仿宋_GB2312" w:cs="仿宋_GB2312"/>
          <w:color w:val="auto"/>
          <w:spacing w:val="-6"/>
          <w:kern w:val="0"/>
          <w:sz w:val="32"/>
          <w:szCs w:val="32"/>
          <w:highlight w:val="none"/>
          <w:lang w:eastAsia="zh-CN"/>
        </w:rPr>
        <w:t>约定为准</w:t>
      </w:r>
      <w:r>
        <w:rPr>
          <w:rFonts w:hint="eastAsia" w:ascii="仿宋_GB2312" w:hAnsi="仿宋_GB2312" w:eastAsia="仿宋_GB2312" w:cs="仿宋_GB2312"/>
          <w:color w:val="auto"/>
          <w:spacing w:val="-6"/>
          <w:kern w:val="0"/>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开发时序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default"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rPr>
        <w:t>公开出让的</w:t>
      </w:r>
      <w:r>
        <w:rPr>
          <w:rFonts w:hint="eastAsia" w:ascii="仿宋_GB2312" w:hAnsi="仿宋_GB2312" w:eastAsia="仿宋_GB2312" w:cs="仿宋_GB2312"/>
          <w:color w:val="auto"/>
          <w:spacing w:val="-6"/>
          <w:kern w:val="0"/>
          <w:sz w:val="32"/>
          <w:szCs w:val="32"/>
          <w:highlight w:val="none"/>
          <w:lang w:val="en-US" w:eastAsia="zh-CN"/>
        </w:rPr>
        <w:t>3.85</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spacing w:val="-6"/>
          <w:kern w:val="0"/>
          <w:sz w:val="32"/>
          <w:szCs w:val="32"/>
        </w:rPr>
        <w:t>38501.35</w:t>
      </w:r>
      <w:r>
        <w:rPr>
          <w:rFonts w:hint="eastAsia" w:ascii="仿宋_GB2312" w:hAnsi="仿宋_GB2312" w:eastAsia="仿宋_GB2312" w:cs="仿宋_GB2312"/>
          <w:color w:val="auto"/>
          <w:spacing w:val="-6"/>
          <w:kern w:val="0"/>
          <w:sz w:val="32"/>
          <w:szCs w:val="32"/>
          <w:highlight w:val="none"/>
        </w:rPr>
        <w:t>平方米，折合约</w:t>
      </w:r>
      <w:r>
        <w:rPr>
          <w:rFonts w:hint="eastAsia" w:ascii="仿宋_GB2312" w:hAnsi="仿宋_GB2312" w:eastAsia="仿宋_GB2312" w:cs="仿宋_GB2312"/>
          <w:color w:val="auto"/>
          <w:spacing w:val="-6"/>
          <w:kern w:val="0"/>
          <w:sz w:val="32"/>
          <w:szCs w:val="32"/>
          <w:highlight w:val="none"/>
          <w:lang w:val="en-US" w:eastAsia="zh-CN"/>
        </w:rPr>
        <w:t>57.75</w:t>
      </w:r>
      <w:r>
        <w:rPr>
          <w:rFonts w:hint="eastAsia" w:ascii="仿宋_GB2312" w:hAnsi="仿宋_GB2312" w:eastAsia="仿宋_GB2312" w:cs="仿宋_GB2312"/>
          <w:color w:val="auto"/>
          <w:spacing w:val="-6"/>
          <w:kern w:val="0"/>
          <w:sz w:val="32"/>
          <w:szCs w:val="32"/>
          <w:highlight w:val="none"/>
        </w:rPr>
        <w:t>亩）</w:t>
      </w:r>
      <w:r>
        <w:rPr>
          <w:rFonts w:hint="eastAsia" w:ascii="仿宋_GB2312" w:hAnsi="仿宋_GB2312" w:eastAsia="仿宋_GB2312" w:cs="仿宋_GB2312"/>
          <w:color w:val="auto"/>
          <w:spacing w:val="-6"/>
          <w:sz w:val="32"/>
          <w:szCs w:val="32"/>
          <w:highlight w:val="none"/>
          <w:lang w:val="en-US" w:eastAsia="zh-CN"/>
        </w:rPr>
        <w:t>规划为二类工业用地。项目开发周期、动工时间、竣工时间以及建设内容等以土地使用权出让合同、合作协议等相关约定为准。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六、实施监管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kern w:val="0"/>
          <w:sz w:val="32"/>
          <w:szCs w:val="32"/>
          <w:highlight w:val="none"/>
        </w:rPr>
        <w:t>结合项目实际情况和实施监管协议的内容执行，其中改造主体需建设竣工验收合格并向中山市板芙镇白溪村经济联合社无偿移交证载建筑面积不少于20163平方米国有用地性质高标准工业厂房。具体开发时间、建设内容以签订的土地使用权出让合同、合作协议及移交物业开发协议等相关约定为准。</w:t>
      </w:r>
    </w:p>
    <w:p>
      <w:pPr>
        <w:keepNext w:val="0"/>
        <w:keepLines w:val="0"/>
        <w:pageBreakBefore w:val="0"/>
        <w:widowControl w:val="0"/>
        <w:kinsoku/>
        <w:wordWrap/>
        <w:overflowPunct/>
        <w:topLinePunct w:val="0"/>
        <w:autoSpaceDE/>
        <w:autoSpaceDN/>
        <w:bidi w:val="0"/>
        <w:adjustRightInd/>
        <w:snapToGrid/>
        <w:spacing w:line="574" w:lineRule="exact"/>
        <w:textAlignment w:val="auto"/>
      </w:pP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5F6"/>
    <w:multiLevelType w:val="singleLevel"/>
    <w:tmpl w:val="61CA85F6"/>
    <w:lvl w:ilvl="0" w:tentative="0">
      <w:start w:val="2"/>
      <w:numFmt w:val="chineseCounting"/>
      <w:suff w:val="nothing"/>
      <w:lvlText w:val="（%1）"/>
      <w:lvlJc w:val="left"/>
    </w:lvl>
  </w:abstractNum>
  <w:abstractNum w:abstractNumId="1">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NWUwYmFjZDY2NzUzMGYxN2U4YjZhNDBjZjI5M2QifQ=="/>
  </w:docVars>
  <w:rsids>
    <w:rsidRoot w:val="343B4673"/>
    <w:rsid w:val="036C65CE"/>
    <w:rsid w:val="05B72ED9"/>
    <w:rsid w:val="06322943"/>
    <w:rsid w:val="06B0087B"/>
    <w:rsid w:val="06CA67FB"/>
    <w:rsid w:val="0E131DEE"/>
    <w:rsid w:val="0FE27125"/>
    <w:rsid w:val="11BA64A6"/>
    <w:rsid w:val="14BD4DF6"/>
    <w:rsid w:val="1570013E"/>
    <w:rsid w:val="15D05C79"/>
    <w:rsid w:val="171001C9"/>
    <w:rsid w:val="19F51B2D"/>
    <w:rsid w:val="1AC32384"/>
    <w:rsid w:val="1E2E187F"/>
    <w:rsid w:val="1F811C64"/>
    <w:rsid w:val="1FAE047E"/>
    <w:rsid w:val="230F5BE8"/>
    <w:rsid w:val="25EC42D6"/>
    <w:rsid w:val="31C87263"/>
    <w:rsid w:val="33AA64C1"/>
    <w:rsid w:val="343B4673"/>
    <w:rsid w:val="34D13685"/>
    <w:rsid w:val="34F12F90"/>
    <w:rsid w:val="35C366DA"/>
    <w:rsid w:val="36E26803"/>
    <w:rsid w:val="38685317"/>
    <w:rsid w:val="39E66E3B"/>
    <w:rsid w:val="3E403F18"/>
    <w:rsid w:val="3E4677E0"/>
    <w:rsid w:val="44E64193"/>
    <w:rsid w:val="496973E5"/>
    <w:rsid w:val="49E478B1"/>
    <w:rsid w:val="4B2E395E"/>
    <w:rsid w:val="4B6B53F2"/>
    <w:rsid w:val="4C235CCD"/>
    <w:rsid w:val="4D7D140D"/>
    <w:rsid w:val="4DD139A1"/>
    <w:rsid w:val="51B82A14"/>
    <w:rsid w:val="53C52D97"/>
    <w:rsid w:val="54161C73"/>
    <w:rsid w:val="559D53F0"/>
    <w:rsid w:val="56341592"/>
    <w:rsid w:val="5BFC5412"/>
    <w:rsid w:val="5C096040"/>
    <w:rsid w:val="607226C6"/>
    <w:rsid w:val="6109503A"/>
    <w:rsid w:val="61EB54D7"/>
    <w:rsid w:val="62753F8E"/>
    <w:rsid w:val="636429FB"/>
    <w:rsid w:val="63BE7F2E"/>
    <w:rsid w:val="66161C37"/>
    <w:rsid w:val="673B1B2B"/>
    <w:rsid w:val="67917B37"/>
    <w:rsid w:val="6B2B671B"/>
    <w:rsid w:val="6DF96E29"/>
    <w:rsid w:val="6E755ABD"/>
    <w:rsid w:val="6F1019EE"/>
    <w:rsid w:val="6F922A75"/>
    <w:rsid w:val="710D7765"/>
    <w:rsid w:val="7113780F"/>
    <w:rsid w:val="736B3932"/>
    <w:rsid w:val="74844CAB"/>
    <w:rsid w:val="780C5C1A"/>
    <w:rsid w:val="79305292"/>
    <w:rsid w:val="79CE69C9"/>
    <w:rsid w:val="79F97D60"/>
    <w:rsid w:val="7E0827E7"/>
    <w:rsid w:val="7EFC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ind w:left="0" w:right="0"/>
      <w:jc w:val="center"/>
      <w:outlineLvl w:val="0"/>
    </w:pPr>
    <w:rPr>
      <w:rFonts w:hint="eastAsia" w:ascii="宋体" w:hAnsi="宋体" w:eastAsia="黑体" w:cs="宋体"/>
      <w:kern w:val="44"/>
      <w:sz w:val="36"/>
      <w:szCs w:val="15"/>
      <w:lang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文本缩进 21"/>
    <w:basedOn w:val="1"/>
    <w:qFormat/>
    <w:uiPriority w:val="0"/>
    <w:pPr>
      <w:spacing w:line="480" w:lineRule="auto"/>
      <w:ind w:left="420" w:leftChars="200"/>
    </w:pPr>
  </w:style>
  <w:style w:type="paragraph" w:styleId="4">
    <w:name w:val="Body Text"/>
    <w:basedOn w:val="1"/>
    <w:next w:val="5"/>
    <w:unhideWhenUsed/>
    <w:qFormat/>
    <w:uiPriority w:val="99"/>
    <w:rPr>
      <w:sz w:val="44"/>
    </w:rPr>
  </w:style>
  <w:style w:type="paragraph" w:styleId="5">
    <w:name w:val="toc 5"/>
    <w:basedOn w:val="1"/>
    <w:next w:val="1"/>
    <w:unhideWhenUsed/>
    <w:qFormat/>
    <w:uiPriority w:val="39"/>
    <w:pPr>
      <w:ind w:left="168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6</Pages>
  <Words>2380</Words>
  <Characters>2676</Characters>
  <Lines>0</Lines>
  <Paragraphs>0</Paragraphs>
  <TotalTime>10</TotalTime>
  <ScaleCrop>false</ScaleCrop>
  <LinksUpToDate>false</LinksUpToDate>
  <CharactersWithSpaces>2681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2023-02-14T01:22:00Z</dcterms:created>
  <dc:creator>冯妍</dc:creator>
  <cp:lastModifiedBy>He</cp:lastModifiedBy>
  <cp:lastPrinted>2023-09-01T02:15:00Z</cp:lastPrinted>
  <dcterms:modified xsi:type="dcterms:W3CDTF">2023-09-13T09:28:04Z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A7ACBEB59BFF4D20A32BAC0902D1CEB9</vt:lpwstr>
  </property>
</Properties>
</file>