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三乡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中恒装饰工程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highlight w:val="none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低效工业用地改造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根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据经批复规划条件论证，三乡镇人民政府拟对位于三乡镇鸦岗村西边领二巷7号的中恒装饰工程有限公司低效工业用地进行改造，由中恒装饰工程有限公司进行自主改造，采取全面改造的改造方式。改造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一、地块基本情况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地块位于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中山市三乡镇鸦岗村西边领二巷7号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，用地面积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2.4465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24365.47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36.55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kern w:val="2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kern w:val="2"/>
          <w:sz w:val="32"/>
          <w:szCs w:val="32"/>
          <w:highlight w:val="none"/>
          <w:lang w:eastAsia="zh-CN"/>
        </w:rPr>
        <w:t>（二）标图入库情况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2.4465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24365.47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36.55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</w:rPr>
        <w:t>在现行土地利用总体规划中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/>
        </w:rPr>
        <w:t>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0.0001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非建设用地2.436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24364.37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36.55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/>
        </w:rPr>
        <w:t>在“二调”地类中属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0.0001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非建设用地2.436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24364.37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36.55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/>
        </w:rPr>
        <w:t>；在最新土地利用现状地类中属建设用地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1.8765公顷（18765.12平方米，折合28.15亩），非建设用地0.5600公顷（5600.35平方米，折合8.40亩）；地上建构筑物在2009年12月31日后建成，“二调”及最新土地利用现状地类中部分属非建设用地，不符合标图入库条件。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地块全部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属国有建设用地，土地用途为工业，改造涉及的土地已经确权、登记，不动产权证为粤（2019）中山市不动产权第0181807号，为土地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中山市中恒装饰工程有限公司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建成后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开始使用。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现有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栋建筑物，建筑面积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8846.27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平方米，现状容积率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0.36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，作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工业厂房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所用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为土地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中山市中恒装饰工程有限公司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2009年建成后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开始使用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已按规定办理规划报建等手续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办理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房产证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。该地块目前已拆除建筑面积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平方米，改造前年产值为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82.08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，年税收为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2.19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参照我镇产出、税收平均值，经研究，认定属于低效工业用地。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改造地块不涉及到闲置、抵押、查封、历史文化资源要素、土壤环境潜在监管地块等情况。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）规划情况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改造地块在现行土地利用总体规划中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属建设用地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0.0001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非建设用地2.436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24364.37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36.55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但在我市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在编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国土空间总体规划（2020-2035）安排建设用地规模。其中在国土空间总体规划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（在编）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中，属城镇建设用地2.436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24365.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36.55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亩），属非建设用地0公顷（0平方米，折合约0亩）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。该项目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已纳入《中山市城市更新（“三旧”）改造专项规划（2020-2035）》（中府函〔2022〕414号）。在《中山市三乡镇工业用地规划条件论证报告》（批复文号中府函[2022]223号）中，一类工业用地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.1414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公顷（2141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平方米，折合约32.12亩），规划容积率1.0-3.5，建筑密度35-60%，绿地率10-15%，建筑高度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生产性建筑高度≤50米，特殊工艺除外；配套设施建筑高度≤100米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城市道路用地0.2223公顷（2222.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平方米，折合约3.33亩）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水域0.0025公顷（24.86平方米，折合约0.037亩）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防护绿地用地0.0704公顷（70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.95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平方米，折合约1.056亩）。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改造地块位于城镇开发边界内不涉及永久基本农田、生态保护红线等管控要求。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二、改造意愿情况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改造范围涉及中山市中恒装饰工程有限公司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个权利主体，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三乡镇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人民政府已按照法律法规，就改造范围、土地现状、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主体及拟改造情况等事项征询涉及所有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人改造意愿，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同意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将涉及土地、房屋纳入改造范围。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根据有关规划要求，改造项目严格按照国土空间总体规划、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经批复规划条件论证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管控要求实施建设。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在规划中属非建设用地部分，按照非建设用地进行管控。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控制性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详细规划中属道路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、公园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绿地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及水域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等公益性用地部分，日后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三乡镇人民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政府按规划开发建设时，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改造主体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应无偿将用地交给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三乡镇人民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政府使用。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改造项目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属工改工宗地项目，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拟采取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权利人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自主改造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方式，由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中山市中恒装饰工程有限公司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作为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主体，实施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全面改造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。改造后将用于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美容美妆互联网孵化基地高端产业园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，在符合详细规划的基础上，容积率不小于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，总建筑面积不小于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64242.24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平方米（含不计容建筑面积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6388.2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平方米），其中新建建筑面积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不少于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64242.24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平方米，保留建筑面积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项目相关情况符合国家《产业结构调整指导目录》、《中山市“三线一单”生态环境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分区管控方案》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、《中山市涉挥发性有机物项目环保管理规定》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</w:rPr>
        <w:t>。改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造后年产值将达到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2.1927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亿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（约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600万/亩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，年税收将达到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913.66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（约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25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万/亩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2.5亿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1.5亿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元，银行借贷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项目开发周期为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改造主体在动工前完成当期改造地块的拆除工作，项目整体在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2023年10月31日之前开工，在2025年9月30日前完工。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2.5亿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元，拟建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不少于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64242.24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平方米（含不计容建筑面积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6388.2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平方米），保留建筑面积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六、实施监管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详见三乡镇人民政府与改造主体签订的项目监管协议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B408F"/>
    <w:rsid w:val="529B408F"/>
    <w:rsid w:val="6916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 w:val="4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2023-08-07T02:05:00Z</dcterms:created>
  <dc:creator>秦燕</dc:creator>
  <cp:lastModifiedBy>秦燕</cp:lastModifiedBy>
  <dcterms:modified xsi:type="dcterms:W3CDTF">2023-08-07T02:06:04Z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0AF015AFBEF540EAA41A7488B1438C58</vt:lpwstr>
  </property>
</Properties>
</file>