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中山市达进电子有限公司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756910" cy="3825875"/>
            <wp:effectExtent l="0" t="0" r="152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中山市达进电子有限公司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中府国用（2008）第040694号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中山市达进电子有限公司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中山市三角镇高平村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66666.7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C-8-07-3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C-8-07-3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下沉式绿地率推荐值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：≥40%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透水铺装率推荐值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：≥50%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下沉式绿地率推荐值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：≥40%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透水铺装率推荐值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：≥50%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9C5DC7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A323A0D"/>
    <w:rsid w:val="1E52514A"/>
    <w:rsid w:val="1E572F00"/>
    <w:rsid w:val="201E1D25"/>
    <w:rsid w:val="24170CDF"/>
    <w:rsid w:val="2A143102"/>
    <w:rsid w:val="2AF60D41"/>
    <w:rsid w:val="30414AB6"/>
    <w:rsid w:val="313F3437"/>
    <w:rsid w:val="31A10D8D"/>
    <w:rsid w:val="36AE5415"/>
    <w:rsid w:val="36D72A86"/>
    <w:rsid w:val="37D55DA6"/>
    <w:rsid w:val="391E1CDA"/>
    <w:rsid w:val="39D817E8"/>
    <w:rsid w:val="3CBF7272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39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2022-10-21T01:37:57Z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28863C9D8CD843A49D1BA8B4001DF63E</vt:lpwstr>
  </property>
</Properties>
</file>