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东凤镇李文兴、胡银心、李富康、李裕康“工改工”宗地项目“三旧”改造方案</w:t>
      </w:r>
    </w:p>
    <w:p>
      <w:pPr>
        <w:pStyle w:val="2"/>
        <w:spacing w:before="0" w:after="0" w:afterAutospacing="0" w:line="574" w:lineRule="exact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中山市城市更新（“三旧”改造）专项规划和控制性详细规划，东凤镇人民政府拟对位于中山市东凤镇同安村的李文兴、胡银心、李富康、李裕康旧厂房用地进行改造，由土地权利人李文兴、胡银心、李富康、李裕康自主改造，采取全面改造的改造方式。改造方案如下：</w:t>
      </w:r>
    </w:p>
    <w:p>
      <w:pPr>
        <w:keepNext w:val="0"/>
        <w:keepLines w:val="0"/>
        <w:widowControl/>
        <w:suppressLineNumbers w:val="0"/>
        <w:spacing w:line="574" w:lineRule="exact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一、改造地块基本情况 </w:t>
      </w:r>
    </w:p>
    <w:p>
      <w:pPr>
        <w:keepNext w:val="0"/>
        <w:keepLines w:val="0"/>
        <w:widowControl/>
        <w:suppressLineNumbers w:val="0"/>
        <w:spacing w:line="574" w:lineRule="exact"/>
        <w:ind w:firstLine="620" w:firstLineChars="200"/>
        <w:jc w:val="left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（一）总体情况 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改造地块位于同安村辖区，北至内部路，南至内部路，东至内部路，西至同实一巷，用地面积0.4673公顷（4672.90平方米，折合约7.01亩）。 </w:t>
      </w:r>
    </w:p>
    <w:p>
      <w:pPr>
        <w:keepNext w:val="0"/>
        <w:keepLines w:val="0"/>
        <w:widowControl/>
        <w:suppressLineNumbers w:val="0"/>
        <w:spacing w:line="574" w:lineRule="exact"/>
        <w:ind w:firstLine="620" w:firstLineChars="20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（二）标图入库情况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改造地块正在办理标图入库，图斑编号44200064559，图斑面积0.4674公顷（4673.5平方米，折合约7.01亩），纳入本次改造范围，为改造主体地块。 </w:t>
      </w:r>
    </w:p>
    <w:p>
      <w:pPr>
        <w:keepNext w:val="0"/>
        <w:keepLines w:val="0"/>
        <w:widowControl/>
        <w:suppressLineNumbers w:val="0"/>
        <w:spacing w:line="574" w:lineRule="exact"/>
        <w:ind w:firstLine="620" w:firstLineChars="20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（三）权属情况 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改造范围内全部属国有建设用地，土地用途为工业，改造涉及的土地已经确权、登记，土地证号为中府国用（2003）第031857号，为土地权利人李文兴、胡银心、李富康、李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裕康自2005年1月开始使用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spacing w:line="574" w:lineRule="exact"/>
        <w:ind w:firstLine="620" w:firstLineChars="20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（四）土地利用现状情况 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改造主体地块现有1栋建筑物，为李文兴、胡银心、李富康、李裕康自2005年1月开始使用。无合法规划报建手续，现有建筑面积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4672.90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平方米，现状容积率1.0，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  <w:t>属临时建筑，均作工业厂房所用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该地块目前已拆除建筑面积0平方米，改造前年产值为700万元(折合99.86万元/亩)，年税收为50万元(折合7.13万元/亩)。</w:t>
      </w:r>
    </w:p>
    <w:p>
      <w:pPr>
        <w:keepNext w:val="0"/>
        <w:keepLines w:val="0"/>
        <w:widowControl/>
        <w:suppressLineNumbers w:val="0"/>
        <w:spacing w:line="574" w:lineRule="exact"/>
        <w:ind w:firstLine="616" w:firstLineChars="200"/>
        <w:jc w:val="left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不涉及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闲置、抵押、历史文化资源要素等情况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不属于我市土壤环境潜在监管地块范围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"/>
        </w:rPr>
        <w:t>（五）规划情况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改造主体地块符合土地利用总体规划、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控制性详细规划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，已纳入《中山市城市更新（“三旧”改造）专项规划（2020-2035）》。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其中，在土地利用总体规划中，属城镇建设用地0.4673公顷（4672.9平方米，折合约7.01亩）；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《中山市东凤镇同安片区02街区控制性详细规划（2020）》（中府函〔2020〕293号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，属一类工业用地0.4673公顷（4672.9平方米，折合约7.01亩），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规划容积率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1.0-3.5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，建筑密度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35%-60%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，绿地率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10%-15%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，建筑高度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≤50米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改造地块不涉及到永久基本农田、生态保护红线、城镇开发边界等管控要求。 </w:t>
      </w:r>
    </w:p>
    <w:p>
      <w:pPr>
        <w:keepNext w:val="0"/>
        <w:keepLines w:val="0"/>
        <w:widowControl/>
        <w:suppressLineNumbers w:val="0"/>
        <w:spacing w:line="574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二、改造意愿情况 </w:t>
      </w:r>
    </w:p>
    <w:p>
      <w:pPr>
        <w:spacing w:line="574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改造地块涉及李文兴、胡银心、李富康、李裕康1个权利主体，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东凤镇人民政府已按照法律法规，就改造范围、土地现状、改造主体及拟改造情况等事项征询其改造意愿，同意将涉及土地、房屋纳入改造范围。</w:t>
      </w:r>
    </w:p>
    <w:p>
      <w:pPr>
        <w:keepNext w:val="0"/>
        <w:keepLines w:val="0"/>
        <w:widowControl/>
        <w:suppressLineNumbers w:val="0"/>
        <w:spacing w:line="574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三、改造主体及拟改造情况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根据有关规划要求，改造项目严格按照土地利用总体规划、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东凤镇工业用地规划条件论证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管控要求实施建设。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该改造项目属于工改工宗地项目，拟采取权利人自主改造方式，由李文兴、胡银心、李富康、李裕康作为改造主体，实施全面改造。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改造后权利人将用于制造、销售：电子元器件、家用电器配件、货物或技术进出口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，在符合详细规划的基础上，容积率不小于2.2，新建总建筑面积不小于10280.38平方米（含不计容建筑面积0平方米），不保留原有建筑。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项目相关情况符合国家《产业结构调整指导目录》、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中山市“三线一单”生态环境分区管控方案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《中山市涉挥发性有机物项目环保管理规定》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。改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造后年产值将达到2804.74万元(400万元/亩)，年税收将达到140.19万元（20万元/亩）。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574" w:lineRule="exact"/>
        <w:ind w:firstLine="62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四、资金筹措 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改造主体拟投入资金3000万元，其中自有资金3000万元。</w:t>
      </w:r>
    </w:p>
    <w:p>
      <w:pPr>
        <w:keepNext w:val="0"/>
        <w:keepLines w:val="0"/>
        <w:widowControl/>
        <w:suppressLineNumbers w:val="0"/>
        <w:spacing w:line="574" w:lineRule="exact"/>
        <w:ind w:firstLine="62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五、开发时序 </w:t>
      </w:r>
    </w:p>
    <w:p>
      <w:pPr>
        <w:keepNext w:val="0"/>
        <w:keepLines w:val="0"/>
        <w:widowControl/>
        <w:suppressLineNumbers w:val="0"/>
        <w:spacing w:line="574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项目开发周期为2年，拟分1期开发。一期开发时间为2023年9月，拟投入资金3000万元，拟建建筑面积10280.38平方米（含不计容建筑面积0平方米），主要实施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工业厂房建设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line="574" w:lineRule="exact"/>
        <w:ind w:firstLine="620" w:firstLineChars="20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六、实施监管 </w:t>
      </w:r>
    </w:p>
    <w:p>
      <w:pPr>
        <w:widowControl/>
        <w:ind w:firstLine="616" w:firstLineChars="200"/>
        <w:jc w:val="left"/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详见项目实施监管协议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F59BE"/>
    <w:rsid w:val="02CF59BE"/>
    <w:rsid w:val="07C71F52"/>
    <w:rsid w:val="07E913EA"/>
    <w:rsid w:val="0FA957BC"/>
    <w:rsid w:val="10491209"/>
    <w:rsid w:val="11BE6C95"/>
    <w:rsid w:val="129A57C7"/>
    <w:rsid w:val="145B767E"/>
    <w:rsid w:val="192107E2"/>
    <w:rsid w:val="19AC5B0D"/>
    <w:rsid w:val="1A8707A2"/>
    <w:rsid w:val="1D3501ED"/>
    <w:rsid w:val="1D4422BB"/>
    <w:rsid w:val="1D857767"/>
    <w:rsid w:val="1ECA075D"/>
    <w:rsid w:val="1EF31490"/>
    <w:rsid w:val="211A3333"/>
    <w:rsid w:val="26607380"/>
    <w:rsid w:val="2930634B"/>
    <w:rsid w:val="2A10376E"/>
    <w:rsid w:val="2AC37B81"/>
    <w:rsid w:val="2D5B509E"/>
    <w:rsid w:val="2DE42613"/>
    <w:rsid w:val="37820F0E"/>
    <w:rsid w:val="38401654"/>
    <w:rsid w:val="43F83A2E"/>
    <w:rsid w:val="46807B16"/>
    <w:rsid w:val="48F319A4"/>
    <w:rsid w:val="49E708B6"/>
    <w:rsid w:val="52DE6BCC"/>
    <w:rsid w:val="573B1E04"/>
    <w:rsid w:val="5C620349"/>
    <w:rsid w:val="5F8403D5"/>
    <w:rsid w:val="6CA55E69"/>
    <w:rsid w:val="7EEB3AEB"/>
    <w:rsid w:val="7FE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2023-02-17T03:06:00Z</dcterms:created>
  <dc:creator>叶海滨</dc:creator>
  <cp:lastModifiedBy>冯妍</cp:lastModifiedBy>
  <dcterms:modified xsi:type="dcterms:W3CDTF">2023-07-11T07:32:01Z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6A07C582111C4A6D8010C663417D5021</vt:lpwstr>
  </property>
</Properties>
</file>