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FZXBSJW--GB1-0" w:hAnsi="FZXBSJW--GB1-0" w:eastAsia="FZXBSJW--GB1-0"/>
          <w:sz w:val="32"/>
          <w:szCs w:val="32"/>
          <w:lang w:val="en-US" w:eastAsia="zh-CN"/>
        </w:rPr>
      </w:pPr>
      <w:r>
        <w:rPr>
          <w:rFonts w:hint="eastAsia" w:ascii="FZXBSJW--GB1-0" w:hAnsi="FZXBSJW--GB1-0" w:eastAsia="FZXBSJW--GB1-0"/>
          <w:sz w:val="32"/>
          <w:szCs w:val="32"/>
          <w:lang w:eastAsia="zh-CN"/>
        </w:rPr>
        <w:t>附件</w:t>
      </w:r>
    </w:p>
    <w:p>
      <w:pPr>
        <w:spacing w:beforeLines="0" w:afterLines="0"/>
        <w:jc w:val="left"/>
        <w:rPr>
          <w:rFonts w:hint="default" w:ascii="FZXBSJW--GB1-0" w:hAnsi="FZXBSJW--GB1-0" w:eastAsia="FZXBSJW--GB1-0"/>
          <w:sz w:val="44"/>
          <w:lang w:val="en-US" w:eastAsia="zh-CN"/>
        </w:rPr>
      </w:pPr>
    </w:p>
    <w:p>
      <w:pPr>
        <w:spacing w:line="640" w:lineRule="exact"/>
        <w:jc w:val="center"/>
        <w:rPr>
          <w:rFonts w:hint="eastAsia" w:ascii="方正小标宋简体" w:hAnsi="方正小标宋简体" w:eastAsia="方正小标宋简体" w:cs="方正小标宋简体"/>
          <w:bCs/>
          <w:sz w:val="44"/>
          <w:szCs w:val="44"/>
          <w:highlight w:val="none"/>
          <w:lang w:eastAsia="zh-CN"/>
        </w:rPr>
      </w:pPr>
      <w:r>
        <w:rPr>
          <w:rFonts w:hint="eastAsia" w:ascii="方正小标宋简体" w:hAnsi="方正小标宋简体" w:eastAsia="方正小标宋简体" w:cs="方正小标宋简体"/>
          <w:bCs/>
          <w:sz w:val="44"/>
          <w:szCs w:val="44"/>
          <w:highlight w:val="none"/>
          <w:lang w:eastAsia="zh-CN"/>
        </w:rPr>
        <w:t>中山</w:t>
      </w:r>
      <w:r>
        <w:rPr>
          <w:rFonts w:hint="eastAsia" w:ascii="方正小标宋简体" w:hAnsi="方正小标宋简体" w:eastAsia="方正小标宋简体" w:cs="方正小标宋简体"/>
          <w:bCs/>
          <w:sz w:val="44"/>
          <w:szCs w:val="44"/>
          <w:highlight w:val="none"/>
        </w:rPr>
        <w:t>市供电可靠性管制计划</w:t>
      </w:r>
      <w:r>
        <w:rPr>
          <w:rFonts w:hint="eastAsia" w:ascii="方正小标宋简体" w:hAnsi="方正小标宋简体" w:eastAsia="方正小标宋简体" w:cs="方正小标宋简体"/>
          <w:bCs/>
          <w:sz w:val="44"/>
          <w:szCs w:val="44"/>
          <w:highlight w:val="none"/>
          <w:lang w:eastAsia="zh-CN"/>
        </w:rPr>
        <w:t>实施办法</w:t>
      </w:r>
    </w:p>
    <w:p>
      <w:pPr>
        <w:spacing w:line="560" w:lineRule="exact"/>
        <w:rPr>
          <w:rFonts w:eastAsia="仿宋_GB2312"/>
          <w:color w:val="000000"/>
          <w:sz w:val="32"/>
          <w:szCs w:val="32"/>
          <w:highlight w:val="none"/>
        </w:rPr>
      </w:pPr>
    </w:p>
    <w:p>
      <w:pPr>
        <w:spacing w:line="560" w:lineRule="exact"/>
        <w:rPr>
          <w:rFonts w:eastAsia="仿宋_GB2312"/>
          <w:color w:val="000000"/>
          <w:sz w:val="32"/>
          <w:szCs w:val="32"/>
          <w:highlight w:val="none"/>
        </w:rPr>
      </w:pPr>
    </w:p>
    <w:p>
      <w:pPr>
        <w:spacing w:line="240" w:lineRule="auto"/>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第一章  总则</w:t>
      </w:r>
    </w:p>
    <w:p>
      <w:pPr>
        <w:spacing w:line="240" w:lineRule="auto"/>
        <w:ind w:firstLine="640" w:firstLineChars="200"/>
        <w:jc w:val="left"/>
        <w:rPr>
          <w:rFonts w:eastAsia="仿宋_GB2312"/>
          <w:color w:val="000000"/>
          <w:sz w:val="32"/>
          <w:szCs w:val="32"/>
          <w:highlight w:val="none"/>
        </w:rPr>
      </w:pPr>
      <w:r>
        <w:rPr>
          <w:rFonts w:eastAsia="仿宋_GB2312"/>
          <w:color w:val="000000"/>
          <w:sz w:val="32"/>
          <w:szCs w:val="32"/>
          <w:highlight w:val="none"/>
        </w:rPr>
        <w:t>第一条  根据《</w:t>
      </w:r>
      <w:r>
        <w:rPr>
          <w:rFonts w:hint="eastAsia" w:eastAsia="仿宋_GB2312"/>
          <w:color w:val="000000"/>
          <w:sz w:val="32"/>
          <w:szCs w:val="32"/>
          <w:highlight w:val="none"/>
        </w:rPr>
        <w:t>中山市发展和改革局与广东电网有限责任公司中山供电局关于供电可靠性管制计划的协议</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2023年</w:t>
      </w:r>
      <w:r>
        <w:rPr>
          <w:rFonts w:hint="eastAsia" w:eastAsia="仿宋_GB2312"/>
          <w:color w:val="000000"/>
          <w:sz w:val="32"/>
          <w:szCs w:val="32"/>
          <w:highlight w:val="none"/>
          <w:lang w:eastAsia="zh-CN"/>
        </w:rPr>
        <w:t>）</w:t>
      </w:r>
      <w:r>
        <w:rPr>
          <w:rFonts w:eastAsia="仿宋_GB2312"/>
          <w:color w:val="000000"/>
          <w:sz w:val="32"/>
          <w:szCs w:val="32"/>
          <w:highlight w:val="none"/>
        </w:rPr>
        <w:t>》，为完善供电可靠性管制相应奖励或惩罚处理程序，进一步提高供电可靠性和服务水平，</w:t>
      </w:r>
      <w:r>
        <w:rPr>
          <w:rFonts w:hint="eastAsia" w:ascii="仿宋_GB2312" w:hAnsi="仿宋_GB2312" w:eastAsia="仿宋_GB2312" w:cs="仿宋_GB2312"/>
          <w:color w:val="auto"/>
          <w:sz w:val="32"/>
          <w:szCs w:val="32"/>
          <w:highlight w:val="none"/>
          <w:lang w:eastAsia="zh-CN"/>
        </w:rPr>
        <w:t>为中山</w:t>
      </w:r>
      <w:r>
        <w:rPr>
          <w:rFonts w:hint="eastAsia" w:ascii="仿宋_GB2312" w:hAnsi="仿宋_GB2312" w:eastAsia="仿宋_GB2312" w:cs="仿宋_GB2312"/>
          <w:color w:val="auto"/>
          <w:sz w:val="32"/>
          <w:szCs w:val="32"/>
          <w:highlight w:val="none"/>
          <w:lang w:val="en-US" w:eastAsia="zh-CN"/>
        </w:rPr>
        <w:t>高质量发展</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CN"/>
        </w:rPr>
        <w:t>坚强的</w:t>
      </w:r>
      <w:r>
        <w:rPr>
          <w:rFonts w:eastAsia="仿宋_GB2312"/>
          <w:color w:val="000000"/>
          <w:sz w:val="32"/>
          <w:szCs w:val="32"/>
          <w:highlight w:val="none"/>
        </w:rPr>
        <w:t>电力保障，特制定本办法。</w:t>
      </w:r>
    </w:p>
    <w:p>
      <w:pPr>
        <w:spacing w:line="240" w:lineRule="auto"/>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第二章  奖励惩罚标准</w:t>
      </w:r>
    </w:p>
    <w:p>
      <w:pPr>
        <w:spacing w:line="240" w:lineRule="auto"/>
        <w:ind w:firstLine="640" w:firstLineChars="200"/>
        <w:jc w:val="left"/>
        <w:rPr>
          <w:rFonts w:hint="eastAsia" w:eastAsia="仿宋_GB2312"/>
          <w:color w:val="000000"/>
          <w:sz w:val="32"/>
          <w:szCs w:val="32"/>
          <w:highlight w:val="none"/>
          <w:lang w:eastAsia="zh-CN"/>
        </w:rPr>
      </w:pPr>
      <w:r>
        <w:rPr>
          <w:rFonts w:ascii="Times New Roman" w:hAnsi="Times New Roman" w:eastAsia="仿宋_GB2312" w:cs="Times New Roman"/>
          <w:color w:val="000000"/>
          <w:sz w:val="32"/>
          <w:szCs w:val="32"/>
          <w:highlight w:val="none"/>
          <w:lang w:val="en-US" w:eastAsia="zh-CN" w:bidi="ar-SA"/>
        </w:rPr>
        <w:pict>
          <v:shape id="Object 2" o:spid="_x0000_s1030" o:spt="75" type="#_x0000_t75" style="position:absolute;left:0pt;margin-left:14.95pt;margin-top:231.4pt;height:43.4pt;width:354.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 ShapeID="Object 2" DrawAspect="Content" ObjectID="_1468075725" r:id="rId10">
            <o:LockedField>false</o:LockedField>
          </o:OLEObject>
        </w:pict>
      </w:r>
      <w:r>
        <w:rPr>
          <w:rFonts w:eastAsia="仿宋_GB2312"/>
          <w:color w:val="000000"/>
          <w:sz w:val="32"/>
          <w:szCs w:val="32"/>
          <w:highlight w:val="none"/>
        </w:rPr>
        <w:t>第二条  计算方法。本办法供电可靠性指标以国家能源局审核、确认和发布的年度全口径用户平均停电时间（以下简称SAIDI，单位：小时/户）为准，统计标准按照国家能源局发布的《供电系统供电可靠性评价规程第1部分：通用要求（DL/T836.1-2016 ）》（以下简称 DL/T836.1-2016）执行，统计口径与国家能源局发布口径一致。SAIDI值计算方法参照 DL/T836.1-2016执行，统计期间时间按照年度总小时数计算，公式如下：</w:t>
      </w:r>
      <w:bookmarkStart w:id="0" w:name="_GoBack"/>
      <w:bookmarkEnd w:id="0"/>
    </w:p>
    <w:p>
      <w:pPr>
        <w:spacing w:line="240" w:lineRule="auto"/>
        <w:ind w:firstLine="640" w:firstLineChars="200"/>
        <w:jc w:val="left"/>
        <w:rPr>
          <w:rFonts w:eastAsia="仿宋_GB2312"/>
          <w:color w:val="000000"/>
          <w:sz w:val="32"/>
          <w:szCs w:val="32"/>
          <w:highlight w:val="none"/>
        </w:rPr>
      </w:pPr>
    </w:p>
    <w:p>
      <w:pPr>
        <w:spacing w:line="240" w:lineRule="auto"/>
        <w:ind w:firstLine="640" w:firstLineChars="200"/>
        <w:jc w:val="left"/>
        <w:rPr>
          <w:rFonts w:eastAsia="仿宋_GB2312"/>
          <w:color w:val="000000"/>
          <w:sz w:val="32"/>
          <w:szCs w:val="32"/>
          <w:highlight w:val="none"/>
        </w:rPr>
      </w:pPr>
    </w:p>
    <w:p>
      <w:pPr>
        <w:spacing w:line="240" w:lineRule="auto"/>
        <w:ind w:firstLine="640" w:firstLineChars="200"/>
        <w:jc w:val="left"/>
        <w:rPr>
          <w:rFonts w:hint="eastAsia" w:eastAsia="仿宋_GB2312"/>
          <w:color w:val="000000"/>
          <w:sz w:val="32"/>
          <w:szCs w:val="32"/>
          <w:highlight w:val="none"/>
          <w:lang w:eastAsia="zh-CN"/>
        </w:rPr>
      </w:pPr>
      <w:r>
        <w:rPr>
          <w:rFonts w:eastAsia="仿宋_GB2312"/>
          <w:color w:val="000000"/>
          <w:sz w:val="32"/>
          <w:szCs w:val="32"/>
          <w:highlight w:val="none"/>
        </w:rPr>
        <w:t>第三条  </w:t>
      </w:r>
      <w:r>
        <w:rPr>
          <w:rFonts w:hint="eastAsia" w:eastAsia="仿宋_GB2312"/>
          <w:color w:val="000000"/>
          <w:sz w:val="32"/>
          <w:szCs w:val="32"/>
          <w:highlight w:val="none"/>
          <w:lang w:eastAsia="zh-CN"/>
        </w:rPr>
        <w:t>实施标准如下：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5073"/>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line="240" w:lineRule="auto"/>
              <w:jc w:val="center"/>
              <w:rPr>
                <w:rFonts w:hint="eastAsia" w:eastAsia="仿宋_GB2312"/>
                <w:color w:val="000000"/>
                <w:sz w:val="32"/>
                <w:szCs w:val="32"/>
                <w:highlight w:val="none"/>
                <w:vertAlign w:val="baseline"/>
                <w:lang w:eastAsia="zh-CN"/>
              </w:rPr>
            </w:pPr>
            <w:r>
              <w:rPr>
                <w:rFonts w:hint="eastAsia" w:eastAsia="仿宋_GB2312"/>
                <w:color w:val="000000"/>
                <w:sz w:val="32"/>
                <w:szCs w:val="32"/>
                <w:highlight w:val="none"/>
                <w:vertAlign w:val="baseline"/>
                <w:lang w:eastAsia="zh-CN"/>
              </w:rPr>
              <w:t>序号</w:t>
            </w:r>
          </w:p>
        </w:tc>
        <w:tc>
          <w:tcPr>
            <w:tcW w:w="5073" w:type="dxa"/>
          </w:tcPr>
          <w:p>
            <w:pPr>
              <w:spacing w:line="240" w:lineRule="auto"/>
              <w:jc w:val="center"/>
              <w:rPr>
                <w:rFonts w:hint="default" w:eastAsia="仿宋_GB2312"/>
                <w:color w:val="000000"/>
                <w:sz w:val="32"/>
                <w:szCs w:val="32"/>
                <w:highlight w:val="none"/>
                <w:vertAlign w:val="baseline"/>
                <w:lang w:val="en-US" w:eastAsia="zh-CN"/>
              </w:rPr>
            </w:pPr>
            <w:r>
              <w:rPr>
                <w:rFonts w:hint="eastAsia" w:eastAsia="仿宋_GB2312"/>
                <w:color w:val="000000"/>
                <w:sz w:val="32"/>
                <w:szCs w:val="32"/>
                <w:highlight w:val="none"/>
                <w:vertAlign w:val="baseline"/>
                <w:lang w:eastAsia="zh-CN"/>
              </w:rPr>
              <w:t>年度用户平均停电时间（小时</w:t>
            </w:r>
            <w:r>
              <w:rPr>
                <w:rFonts w:hint="eastAsia" w:eastAsia="仿宋_GB2312"/>
                <w:color w:val="000000"/>
                <w:sz w:val="32"/>
                <w:szCs w:val="32"/>
                <w:highlight w:val="none"/>
                <w:vertAlign w:val="baseline"/>
                <w:lang w:val="en-US" w:eastAsia="zh-CN"/>
              </w:rPr>
              <w:t>/户）</w:t>
            </w:r>
          </w:p>
        </w:tc>
        <w:tc>
          <w:tcPr>
            <w:tcW w:w="2084" w:type="dxa"/>
          </w:tcPr>
          <w:p>
            <w:pPr>
              <w:spacing w:line="240" w:lineRule="auto"/>
              <w:jc w:val="center"/>
              <w:rPr>
                <w:rFonts w:hint="eastAsia" w:eastAsia="仿宋_GB2312"/>
                <w:color w:val="000000"/>
                <w:sz w:val="32"/>
                <w:szCs w:val="32"/>
                <w:highlight w:val="none"/>
                <w:vertAlign w:val="baseline"/>
                <w:lang w:eastAsia="zh-CN"/>
              </w:rPr>
            </w:pPr>
            <w:r>
              <w:rPr>
                <w:rFonts w:hint="eastAsia" w:eastAsia="仿宋_GB2312"/>
                <w:color w:val="000000"/>
                <w:sz w:val="32"/>
                <w:szCs w:val="32"/>
                <w:highlight w:val="none"/>
                <w:vertAlign w:val="baseline"/>
                <w:lang w:eastAsia="zh-CN"/>
              </w:rPr>
              <w:t>奖罚标准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line="240" w:lineRule="auto"/>
              <w:jc w:val="center"/>
              <w:rPr>
                <w:rFonts w:hint="default"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1</w:t>
            </w:r>
          </w:p>
        </w:tc>
        <w:tc>
          <w:tcPr>
            <w:tcW w:w="5073" w:type="dxa"/>
          </w:tcPr>
          <w:p>
            <w:pPr>
              <w:spacing w:line="240" w:lineRule="auto"/>
              <w:jc w:val="center"/>
              <w:rPr>
                <w:rFonts w:hint="eastAsia" w:eastAsia="仿宋_GB2312"/>
                <w:color w:val="000000"/>
                <w:sz w:val="32"/>
                <w:szCs w:val="32"/>
                <w:highlight w:val="none"/>
                <w:lang w:val="en-US" w:eastAsia="zh-CN"/>
              </w:rPr>
            </w:pPr>
            <w:r>
              <w:rPr>
                <w:rFonts w:hint="eastAsia" w:eastAsia="仿宋_GB2312"/>
                <w:color w:val="000000"/>
                <w:sz w:val="32"/>
                <w:szCs w:val="32"/>
              </w:rPr>
              <w:t>1&lt;SAIDI</w:t>
            </w:r>
          </w:p>
        </w:tc>
        <w:tc>
          <w:tcPr>
            <w:tcW w:w="2084" w:type="dxa"/>
          </w:tcPr>
          <w:p>
            <w:pPr>
              <w:spacing w:line="240" w:lineRule="auto"/>
              <w:jc w:val="left"/>
              <w:rPr>
                <w:rFonts w:hint="eastAsia" w:eastAsia="仿宋_GB2312"/>
                <w:color w:val="000000"/>
                <w:sz w:val="32"/>
                <w:szCs w:val="32"/>
                <w:highlight w:val="none"/>
                <w:vertAlign w:val="baseline"/>
                <w:lang w:val="en-US" w:eastAsia="zh-CN"/>
              </w:rPr>
            </w:pPr>
            <w:r>
              <w:rPr>
                <w:rFonts w:hint="eastAsia" w:eastAsia="仿宋_GB2312"/>
                <w:color w:val="000000"/>
                <w:sz w:val="32"/>
                <w:szCs w:val="32"/>
                <w:highlight w:val="none"/>
                <w:vertAlign w:val="baseline"/>
                <w:lang w:val="en-US" w:eastAsia="zh-CN"/>
              </w:rPr>
              <w:t>扣罚30万元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line="240" w:lineRule="auto"/>
              <w:jc w:val="center"/>
              <w:rPr>
                <w:rFonts w:hint="default"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2</w:t>
            </w:r>
          </w:p>
        </w:tc>
        <w:tc>
          <w:tcPr>
            <w:tcW w:w="5073" w:type="dxa"/>
            <w:vAlign w:val="top"/>
          </w:tcPr>
          <w:p>
            <w:pPr>
              <w:spacing w:line="240" w:lineRule="auto"/>
              <w:jc w:val="center"/>
              <w:rPr>
                <w:rFonts w:hint="eastAsia" w:eastAsia="仿宋_GB2312"/>
                <w:color w:val="000000"/>
                <w:sz w:val="32"/>
                <w:szCs w:val="32"/>
                <w:highlight w:val="none"/>
                <w:lang w:val="en-US" w:eastAsia="zh-CN"/>
              </w:rPr>
            </w:pPr>
            <w:r>
              <w:rPr>
                <w:rFonts w:hint="eastAsia" w:eastAsia="仿宋_GB2312"/>
                <w:color w:val="000000"/>
                <w:sz w:val="32"/>
                <w:szCs w:val="32"/>
              </w:rPr>
              <w:t>0.9&lt;SAIDI</w:t>
            </w:r>
            <w:r>
              <w:rPr>
                <w:rFonts w:hint="eastAsia" w:ascii="微软雅黑" w:hAnsi="微软雅黑" w:eastAsia="微软雅黑" w:cs="微软雅黑"/>
                <w:color w:val="000000"/>
                <w:sz w:val="32"/>
                <w:szCs w:val="32"/>
              </w:rPr>
              <w:t>≦</w:t>
            </w:r>
            <w:r>
              <w:rPr>
                <w:rFonts w:hint="eastAsia" w:eastAsia="仿宋_GB2312"/>
                <w:color w:val="000000"/>
                <w:sz w:val="32"/>
                <w:szCs w:val="32"/>
              </w:rPr>
              <w:t>1</w:t>
            </w:r>
          </w:p>
        </w:tc>
        <w:tc>
          <w:tcPr>
            <w:tcW w:w="2084" w:type="dxa"/>
            <w:vAlign w:val="top"/>
          </w:tcPr>
          <w:p>
            <w:pPr>
              <w:spacing w:line="240" w:lineRule="auto"/>
              <w:jc w:val="left"/>
              <w:rPr>
                <w:rFonts w:hint="eastAsia" w:eastAsia="仿宋_GB2312"/>
                <w:color w:val="000000"/>
                <w:sz w:val="32"/>
                <w:szCs w:val="32"/>
                <w:highlight w:val="none"/>
                <w:vertAlign w:val="baseline"/>
                <w:lang w:val="en-US" w:eastAsia="zh-CN"/>
              </w:rPr>
            </w:pPr>
            <w:r>
              <w:rPr>
                <w:rFonts w:hint="eastAsia" w:eastAsia="仿宋_GB2312"/>
                <w:color w:val="000000"/>
                <w:sz w:val="32"/>
                <w:szCs w:val="32"/>
                <w:highlight w:val="none"/>
                <w:vertAlign w:val="baseline"/>
                <w:lang w:val="en-US" w:eastAsia="zh-CN"/>
              </w:rPr>
              <w:t>扣罚20万元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line="240" w:lineRule="auto"/>
              <w:jc w:val="center"/>
              <w:rPr>
                <w:rFonts w:hint="eastAsia"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3</w:t>
            </w:r>
          </w:p>
        </w:tc>
        <w:tc>
          <w:tcPr>
            <w:tcW w:w="5073" w:type="dxa"/>
            <w:vAlign w:val="top"/>
          </w:tcPr>
          <w:p>
            <w:pPr>
              <w:spacing w:line="240" w:lineRule="auto"/>
              <w:jc w:val="center"/>
              <w:rPr>
                <w:rFonts w:hint="default" w:eastAsia="仿宋_GB2312"/>
                <w:color w:val="000000"/>
                <w:sz w:val="28"/>
                <w:szCs w:val="28"/>
                <w:highlight w:val="none"/>
                <w:vertAlign w:val="baseline"/>
                <w:lang w:val="en-US" w:eastAsia="zh-CN"/>
              </w:rPr>
            </w:pPr>
            <w:r>
              <w:rPr>
                <w:rFonts w:hint="eastAsia" w:eastAsia="仿宋_GB2312"/>
                <w:color w:val="000000"/>
                <w:sz w:val="32"/>
                <w:szCs w:val="32"/>
              </w:rPr>
              <w:t>0.7&lt;SAIDI</w:t>
            </w:r>
            <w:r>
              <w:rPr>
                <w:rFonts w:hint="eastAsia" w:ascii="微软雅黑" w:hAnsi="微软雅黑" w:eastAsia="微软雅黑" w:cs="微软雅黑"/>
                <w:color w:val="000000"/>
                <w:sz w:val="32"/>
                <w:szCs w:val="32"/>
              </w:rPr>
              <w:t>≦</w:t>
            </w:r>
            <w:r>
              <w:rPr>
                <w:rFonts w:hint="eastAsia" w:eastAsia="仿宋_GB2312"/>
                <w:color w:val="000000"/>
                <w:sz w:val="32"/>
                <w:szCs w:val="32"/>
              </w:rPr>
              <w:t>0.9</w:t>
            </w:r>
          </w:p>
        </w:tc>
        <w:tc>
          <w:tcPr>
            <w:tcW w:w="2084" w:type="dxa"/>
            <w:vAlign w:val="top"/>
          </w:tcPr>
          <w:p>
            <w:pPr>
              <w:spacing w:line="240" w:lineRule="auto"/>
              <w:jc w:val="left"/>
              <w:rPr>
                <w:rFonts w:hint="default" w:eastAsia="仿宋_GB2312"/>
                <w:color w:val="000000"/>
                <w:sz w:val="32"/>
                <w:szCs w:val="32"/>
                <w:highlight w:val="none"/>
                <w:vertAlign w:val="baseline"/>
                <w:lang w:val="en-US" w:eastAsia="zh-CN"/>
              </w:rPr>
            </w:pPr>
            <w:r>
              <w:rPr>
                <w:rFonts w:hint="eastAsia" w:eastAsia="仿宋_GB2312"/>
                <w:color w:val="000000"/>
                <w:sz w:val="32"/>
                <w:szCs w:val="32"/>
                <w:highlight w:val="none"/>
                <w:vertAlign w:val="baseline"/>
                <w:lang w:val="en-US" w:eastAsia="zh-CN"/>
              </w:rPr>
              <w:t>扣罚10万元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line="240" w:lineRule="auto"/>
              <w:jc w:val="center"/>
              <w:rPr>
                <w:rFonts w:hint="eastAsia"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4</w:t>
            </w:r>
          </w:p>
        </w:tc>
        <w:tc>
          <w:tcPr>
            <w:tcW w:w="5073" w:type="dxa"/>
            <w:vAlign w:val="top"/>
          </w:tcPr>
          <w:p>
            <w:pPr>
              <w:spacing w:line="240" w:lineRule="auto"/>
              <w:jc w:val="center"/>
              <w:rPr>
                <w:rFonts w:hint="default" w:eastAsia="仿宋_GB2312"/>
                <w:color w:val="000000"/>
                <w:sz w:val="32"/>
                <w:szCs w:val="32"/>
                <w:highlight w:val="none"/>
                <w:vertAlign w:val="baseline"/>
                <w:lang w:val="en-US" w:eastAsia="zh-CN"/>
              </w:rPr>
            </w:pPr>
            <w:r>
              <w:rPr>
                <w:rFonts w:hint="eastAsia" w:eastAsia="仿宋_GB2312"/>
                <w:color w:val="000000"/>
                <w:sz w:val="32"/>
                <w:szCs w:val="32"/>
              </w:rPr>
              <w:t>SAIDI</w:t>
            </w:r>
            <w:r>
              <w:rPr>
                <w:rFonts w:hint="eastAsia" w:ascii="微软雅黑" w:hAnsi="微软雅黑" w:eastAsia="微软雅黑" w:cs="微软雅黑"/>
                <w:color w:val="000000"/>
                <w:sz w:val="32"/>
                <w:szCs w:val="32"/>
              </w:rPr>
              <w:t>≦</w:t>
            </w:r>
            <w:r>
              <w:rPr>
                <w:rFonts w:hint="eastAsia" w:eastAsia="仿宋_GB2312"/>
                <w:color w:val="000000"/>
                <w:sz w:val="32"/>
                <w:szCs w:val="32"/>
                <w:lang w:val="en-US" w:eastAsia="zh-CN"/>
              </w:rPr>
              <w:t>0.7</w:t>
            </w:r>
          </w:p>
        </w:tc>
        <w:tc>
          <w:tcPr>
            <w:tcW w:w="2084" w:type="dxa"/>
            <w:vAlign w:val="top"/>
          </w:tcPr>
          <w:p>
            <w:pPr>
              <w:spacing w:line="240" w:lineRule="auto"/>
              <w:jc w:val="center"/>
              <w:rPr>
                <w:rFonts w:hint="default" w:eastAsia="仿宋_GB2312"/>
                <w:color w:val="000000"/>
                <w:sz w:val="32"/>
                <w:szCs w:val="32"/>
                <w:highlight w:val="none"/>
                <w:vertAlign w:val="baseline"/>
                <w:lang w:val="en-US" w:eastAsia="zh-CN"/>
              </w:rPr>
            </w:pPr>
            <w:r>
              <w:rPr>
                <w:rFonts w:hint="eastAsia" w:eastAsia="仿宋_GB2312"/>
                <w:color w:val="000000"/>
                <w:sz w:val="32"/>
                <w:szCs w:val="32"/>
                <w:highlight w:val="none"/>
                <w:vertAlign w:val="baseline"/>
                <w:lang w:val="en-US" w:eastAsia="zh-CN"/>
              </w:rPr>
              <w:t>表彰</w:t>
            </w:r>
          </w:p>
        </w:tc>
      </w:tr>
    </w:tbl>
    <w:p>
      <w:pPr>
        <w:spacing w:line="240" w:lineRule="auto"/>
        <w:ind w:firstLine="640" w:firstLineChars="200"/>
        <w:jc w:val="left"/>
        <w:rPr>
          <w:rFonts w:hint="eastAsia" w:eastAsia="仿宋_GB2312"/>
          <w:color w:val="000000"/>
          <w:sz w:val="32"/>
          <w:szCs w:val="32"/>
          <w:highlight w:val="none"/>
          <w:lang w:eastAsia="zh-CN"/>
        </w:rPr>
      </w:pPr>
      <w:r>
        <w:rPr>
          <w:rFonts w:eastAsia="仿宋_GB2312"/>
          <w:color w:val="000000"/>
          <w:sz w:val="32"/>
          <w:szCs w:val="32"/>
          <w:highlight w:val="none"/>
        </w:rPr>
        <w:t>第四条  </w:t>
      </w:r>
      <w:r>
        <w:rPr>
          <w:rFonts w:hint="default" w:eastAsia="仿宋_GB2312"/>
          <w:color w:val="000000"/>
          <w:sz w:val="32"/>
          <w:szCs w:val="32"/>
          <w:highlight w:val="none"/>
        </w:rPr>
        <w:t>SAIDI值为国家能源局每年发布的</w:t>
      </w:r>
      <w:r>
        <w:rPr>
          <w:rFonts w:hint="eastAsia" w:eastAsia="仿宋_GB2312"/>
          <w:color w:val="000000"/>
          <w:sz w:val="32"/>
          <w:szCs w:val="32"/>
          <w:highlight w:val="none"/>
          <w:lang w:eastAsia="zh-CN"/>
        </w:rPr>
        <w:t>中山</w:t>
      </w:r>
      <w:r>
        <w:rPr>
          <w:rFonts w:hint="default" w:eastAsia="仿宋_GB2312"/>
          <w:color w:val="000000"/>
          <w:sz w:val="32"/>
          <w:szCs w:val="32"/>
          <w:highlight w:val="none"/>
        </w:rPr>
        <w:t>市全口径</w:t>
      </w:r>
      <w:r>
        <w:rPr>
          <w:rFonts w:hint="default" w:eastAsia="仿宋_GB2312"/>
          <w:color w:val="000000"/>
          <w:sz w:val="32"/>
          <w:szCs w:val="32"/>
          <w:highlight w:val="none"/>
          <w:lang w:eastAsia="zh-CN"/>
        </w:rPr>
        <w:t>用户</w:t>
      </w:r>
      <w:r>
        <w:rPr>
          <w:rFonts w:hint="default" w:eastAsia="仿宋_GB2312"/>
          <w:color w:val="000000"/>
          <w:sz w:val="32"/>
          <w:szCs w:val="32"/>
          <w:highlight w:val="none"/>
        </w:rPr>
        <w:t>平均停电时间，双方根据国家能源局发布的202</w:t>
      </w:r>
      <w:r>
        <w:rPr>
          <w:rFonts w:hint="eastAsia" w:eastAsia="仿宋_GB2312"/>
          <w:color w:val="000000"/>
          <w:sz w:val="32"/>
          <w:szCs w:val="32"/>
          <w:highlight w:val="none"/>
          <w:lang w:val="en-US" w:eastAsia="zh-CN"/>
        </w:rPr>
        <w:t>3</w:t>
      </w:r>
      <w:r>
        <w:rPr>
          <w:rFonts w:hint="default" w:eastAsia="仿宋_GB2312"/>
          <w:color w:val="000000"/>
          <w:sz w:val="32"/>
          <w:szCs w:val="32"/>
          <w:highlight w:val="none"/>
        </w:rPr>
        <w:t>年</w:t>
      </w:r>
      <w:r>
        <w:rPr>
          <w:rFonts w:hint="default" w:eastAsia="仿宋_GB2312"/>
          <w:color w:val="000000"/>
          <w:sz w:val="32"/>
          <w:szCs w:val="32"/>
          <w:highlight w:val="none"/>
          <w:lang w:val="en-US" w:eastAsia="zh-CN"/>
        </w:rPr>
        <w:t>度</w:t>
      </w:r>
      <w:r>
        <w:rPr>
          <w:rFonts w:hint="default" w:eastAsia="仿宋_GB2312"/>
          <w:color w:val="000000"/>
          <w:sz w:val="32"/>
          <w:szCs w:val="32"/>
          <w:highlight w:val="none"/>
        </w:rPr>
        <w:t>SAIDI</w:t>
      </w:r>
      <w:r>
        <w:rPr>
          <w:rFonts w:hint="default" w:eastAsia="仿宋_GB2312"/>
          <w:color w:val="000000"/>
          <w:sz w:val="32"/>
          <w:szCs w:val="32"/>
          <w:highlight w:val="none"/>
          <w:lang w:eastAsia="zh-CN"/>
        </w:rPr>
        <w:t>完成</w:t>
      </w:r>
      <w:r>
        <w:rPr>
          <w:rFonts w:hint="default" w:eastAsia="仿宋_GB2312"/>
          <w:color w:val="000000"/>
          <w:sz w:val="32"/>
          <w:szCs w:val="32"/>
          <w:highlight w:val="none"/>
        </w:rPr>
        <w:t>值按实施标准执行惩罚或</w:t>
      </w:r>
      <w:r>
        <w:rPr>
          <w:rFonts w:hint="default" w:eastAsia="仿宋_GB2312"/>
          <w:color w:val="000000"/>
          <w:sz w:val="32"/>
          <w:szCs w:val="32"/>
          <w:highlight w:val="none"/>
          <w:lang w:eastAsia="zh-CN"/>
        </w:rPr>
        <w:t>表彰</w:t>
      </w:r>
      <w:r>
        <w:rPr>
          <w:rFonts w:hint="default" w:eastAsia="仿宋_GB2312"/>
          <w:color w:val="000000"/>
          <w:sz w:val="32"/>
          <w:szCs w:val="32"/>
          <w:highlight w:val="none"/>
        </w:rPr>
        <w:t>，表彰</w:t>
      </w:r>
      <w:r>
        <w:rPr>
          <w:rFonts w:hint="default" w:eastAsia="仿宋_GB2312"/>
          <w:color w:val="000000"/>
          <w:sz w:val="32"/>
          <w:szCs w:val="32"/>
          <w:highlight w:val="none"/>
          <w:lang w:eastAsia="zh-CN"/>
        </w:rPr>
        <w:t>结果及形式</w:t>
      </w:r>
      <w:r>
        <w:rPr>
          <w:rFonts w:hint="default" w:eastAsia="仿宋_GB2312"/>
          <w:color w:val="000000"/>
          <w:sz w:val="32"/>
          <w:szCs w:val="32"/>
          <w:highlight w:val="none"/>
        </w:rPr>
        <w:t>由</w:t>
      </w:r>
      <w:r>
        <w:rPr>
          <w:rFonts w:hint="eastAsia" w:eastAsia="仿宋_GB2312"/>
          <w:color w:val="000000"/>
          <w:sz w:val="32"/>
          <w:szCs w:val="32"/>
          <w:highlight w:val="none"/>
          <w:lang w:eastAsia="zh-CN"/>
        </w:rPr>
        <w:t>中山市发展和改革</w:t>
      </w:r>
      <w:r>
        <w:rPr>
          <w:rFonts w:hint="default" w:eastAsia="仿宋_GB2312"/>
          <w:color w:val="000000"/>
          <w:sz w:val="32"/>
          <w:szCs w:val="32"/>
          <w:highlight w:val="none"/>
        </w:rPr>
        <w:t>局制定</w:t>
      </w:r>
      <w:r>
        <w:rPr>
          <w:rFonts w:hint="eastAsia" w:eastAsia="仿宋_GB2312"/>
          <w:color w:val="000000"/>
          <w:sz w:val="32"/>
          <w:szCs w:val="32"/>
          <w:highlight w:val="none"/>
          <w:lang w:eastAsia="zh-CN"/>
        </w:rPr>
        <w:t>。其中，对中山供电局的惩罚资金按规定上缴国库，纳入非税收入管理。</w:t>
      </w:r>
    </w:p>
    <w:p>
      <w:pPr>
        <w:spacing w:line="240" w:lineRule="auto"/>
        <w:ind w:left="638" w:leftChars="304" w:firstLine="0" w:firstLineChars="0"/>
        <w:jc w:val="left"/>
        <w:rPr>
          <w:rFonts w:eastAsia="仿宋_GB2312"/>
          <w:color w:val="000000"/>
          <w:sz w:val="32"/>
          <w:szCs w:val="32"/>
          <w:highlight w:val="none"/>
        </w:rPr>
      </w:pPr>
      <w:r>
        <w:rPr>
          <w:rFonts w:eastAsia="仿宋_GB2312"/>
          <w:color w:val="000000"/>
          <w:sz w:val="32"/>
          <w:szCs w:val="32"/>
          <w:highlight w:val="none"/>
        </w:rPr>
        <w:t>第五条  以下供电中断情况应免于计算在SAIDI值内。</w:t>
      </w:r>
    </w:p>
    <w:p>
      <w:pPr>
        <w:spacing w:line="240" w:lineRule="auto"/>
        <w:ind w:firstLine="640" w:firstLineChars="200"/>
        <w:jc w:val="left"/>
        <w:rPr>
          <w:rFonts w:hint="eastAsia" w:eastAsia="仿宋_GB2312"/>
          <w:color w:val="000000"/>
          <w:sz w:val="32"/>
          <w:szCs w:val="32"/>
          <w:highlight w:val="none"/>
          <w:lang w:eastAsia="zh-CN"/>
        </w:rPr>
      </w:pPr>
      <w:r>
        <w:rPr>
          <w:rFonts w:eastAsia="仿宋_GB2312"/>
          <w:color w:val="000000"/>
          <w:sz w:val="32"/>
          <w:szCs w:val="32"/>
          <w:highlight w:val="none"/>
        </w:rPr>
        <w:t>（一）该中断持续小于3分钟。</w:t>
      </w:r>
    </w:p>
    <w:p>
      <w:pPr>
        <w:spacing w:line="240" w:lineRule="auto"/>
        <w:ind w:firstLine="320" w:firstLineChars="100"/>
        <w:jc w:val="left"/>
        <w:rPr>
          <w:rFonts w:hint="eastAsia" w:eastAsia="仿宋_GB2312"/>
          <w:color w:val="000000"/>
          <w:sz w:val="32"/>
          <w:szCs w:val="32"/>
          <w:highlight w:val="none"/>
          <w:lang w:eastAsia="zh-CN"/>
        </w:rPr>
      </w:pPr>
      <w:r>
        <w:rPr>
          <w:rFonts w:hint="eastAsia" w:eastAsia="仿宋_GB2312"/>
          <w:color w:val="000000"/>
          <w:sz w:val="32"/>
          <w:szCs w:val="32"/>
          <w:highlight w:val="none"/>
          <w:lang w:val="en-US" w:eastAsia="zh-CN"/>
        </w:rPr>
        <w:t xml:space="preserve">  </w:t>
      </w:r>
      <w:r>
        <w:rPr>
          <w:rFonts w:eastAsia="仿宋_GB2312"/>
          <w:color w:val="000000"/>
          <w:sz w:val="32"/>
          <w:szCs w:val="32"/>
          <w:highlight w:val="none"/>
        </w:rPr>
        <w:t>（二）</w:t>
      </w:r>
      <w:r>
        <w:rPr>
          <w:rFonts w:hint="eastAsia" w:eastAsia="仿宋_GB2312"/>
          <w:color w:val="000000"/>
          <w:sz w:val="32"/>
          <w:szCs w:val="32"/>
        </w:rPr>
        <w:t>专变</w:t>
      </w:r>
      <w:r>
        <w:rPr>
          <w:rFonts w:eastAsia="仿宋_GB2312"/>
          <w:color w:val="000000"/>
          <w:sz w:val="32"/>
          <w:szCs w:val="32"/>
        </w:rPr>
        <w:t>用户提出或</w:t>
      </w:r>
      <w:r>
        <w:rPr>
          <w:rFonts w:hint="eastAsia" w:eastAsia="仿宋_GB2312"/>
          <w:color w:val="000000"/>
          <w:sz w:val="32"/>
          <w:szCs w:val="32"/>
        </w:rPr>
        <w:t>专变</w:t>
      </w:r>
      <w:r>
        <w:rPr>
          <w:rFonts w:eastAsia="仿宋_GB2312"/>
          <w:color w:val="000000"/>
          <w:sz w:val="32"/>
          <w:szCs w:val="32"/>
        </w:rPr>
        <w:t>用户内部原因引起的供电中断事件</w:t>
      </w:r>
      <w:r>
        <w:rPr>
          <w:rFonts w:hint="eastAsia" w:eastAsia="仿宋_GB2312"/>
          <w:color w:val="000000"/>
          <w:sz w:val="32"/>
          <w:szCs w:val="32"/>
        </w:rPr>
        <w:t>。</w:t>
      </w:r>
      <w:r>
        <w:rPr>
          <w:rFonts w:hint="eastAsia" w:eastAsia="仿宋_GB2312"/>
          <w:sz w:val="32"/>
          <w:szCs w:val="32"/>
        </w:rPr>
        <w:t>（专变用户：是指使用属于自身产权的变压器供电的中压用户。）</w:t>
      </w:r>
    </w:p>
    <w:p>
      <w:pPr>
        <w:spacing w:line="240" w:lineRule="auto"/>
        <w:ind w:firstLine="320" w:firstLineChars="100"/>
        <w:jc w:val="left"/>
        <w:rPr>
          <w:rFonts w:eastAsia="仿宋_GB2312"/>
          <w:color w:val="000000"/>
          <w:sz w:val="32"/>
          <w:szCs w:val="32"/>
          <w:highlight w:val="none"/>
        </w:rPr>
      </w:pPr>
      <w:r>
        <w:rPr>
          <w:rFonts w:hint="eastAsia" w:eastAsia="仿宋_GB2312"/>
          <w:color w:val="000000"/>
          <w:sz w:val="32"/>
          <w:szCs w:val="32"/>
          <w:highlight w:val="none"/>
          <w:lang w:val="en-US" w:eastAsia="zh-CN"/>
        </w:rPr>
        <w:t xml:space="preserve">  </w:t>
      </w:r>
      <w:r>
        <w:rPr>
          <w:rFonts w:eastAsia="仿宋_GB2312"/>
          <w:color w:val="000000"/>
          <w:sz w:val="32"/>
          <w:szCs w:val="32"/>
          <w:highlight w:val="none"/>
        </w:rPr>
        <w:t>（三）该供电中断事件经政府监管机构认定，符合DL/T836.1-2016和IEEE 1366-2012标准内定义的“重大事件日”要求。</w:t>
      </w:r>
    </w:p>
    <w:p>
      <w:pPr>
        <w:spacing w:line="240" w:lineRule="auto"/>
        <w:ind w:firstLine="640" w:firstLineChars="200"/>
        <w:jc w:val="left"/>
        <w:rPr>
          <w:rFonts w:eastAsia="仿宋_GB2312"/>
          <w:color w:val="000000"/>
          <w:sz w:val="32"/>
          <w:szCs w:val="32"/>
          <w:highlight w:val="none"/>
        </w:rPr>
      </w:pPr>
      <w:r>
        <w:rPr>
          <w:rFonts w:eastAsia="仿宋_GB2312"/>
          <w:color w:val="000000"/>
          <w:sz w:val="32"/>
          <w:szCs w:val="32"/>
          <w:highlight w:val="none"/>
        </w:rPr>
        <w:t>（四）该供电中断是由于配合市政工程、配合落实司法机关协助文书等实施。该事由以有权机关生效公文的判定为准。</w:t>
      </w:r>
    </w:p>
    <w:p>
      <w:pPr>
        <w:spacing w:line="240" w:lineRule="auto"/>
        <w:ind w:firstLine="640" w:firstLineChars="200"/>
        <w:jc w:val="left"/>
        <w:rPr>
          <w:rFonts w:eastAsia="仿宋_GB2312"/>
          <w:color w:val="000000"/>
          <w:sz w:val="32"/>
          <w:szCs w:val="32"/>
          <w:highlight w:val="none"/>
        </w:rPr>
      </w:pPr>
      <w:r>
        <w:rPr>
          <w:rFonts w:eastAsia="仿宋_GB2312"/>
          <w:color w:val="000000"/>
          <w:sz w:val="32"/>
          <w:szCs w:val="32"/>
          <w:highlight w:val="none"/>
        </w:rPr>
        <w:t>（五）其它不可抗力事件。</w:t>
      </w:r>
    </w:p>
    <w:p>
      <w:pPr>
        <w:spacing w:line="240" w:lineRule="auto"/>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第三章   惩罚资金上缴</w:t>
      </w:r>
    </w:p>
    <w:p>
      <w:pPr>
        <w:spacing w:line="240" w:lineRule="auto"/>
        <w:ind w:firstLine="640" w:firstLineChars="200"/>
        <w:jc w:val="left"/>
        <w:rPr>
          <w:rFonts w:hint="eastAsia" w:eastAsia="仿宋_GB2312"/>
          <w:color w:val="000000"/>
          <w:sz w:val="32"/>
          <w:szCs w:val="32"/>
          <w:highlight w:val="none"/>
          <w:lang w:val="en-US" w:eastAsia="zh-CN"/>
        </w:rPr>
      </w:pPr>
      <w:r>
        <w:rPr>
          <w:rFonts w:eastAsia="仿宋_GB2312"/>
          <w:color w:val="000000"/>
          <w:sz w:val="32"/>
          <w:szCs w:val="32"/>
          <w:highlight w:val="none"/>
        </w:rPr>
        <w:t>第</w:t>
      </w:r>
      <w:r>
        <w:rPr>
          <w:rFonts w:hint="eastAsia" w:eastAsia="仿宋_GB2312"/>
          <w:color w:val="000000"/>
          <w:sz w:val="32"/>
          <w:szCs w:val="32"/>
          <w:highlight w:val="none"/>
          <w:lang w:eastAsia="zh-CN"/>
        </w:rPr>
        <w:t>六</w:t>
      </w:r>
      <w:r>
        <w:rPr>
          <w:rFonts w:eastAsia="仿宋_GB2312"/>
          <w:color w:val="000000"/>
          <w:sz w:val="32"/>
          <w:szCs w:val="32"/>
          <w:highlight w:val="none"/>
        </w:rPr>
        <w:t>条  符合惩罚标准要求的，</w:t>
      </w:r>
      <w:r>
        <w:rPr>
          <w:rFonts w:hint="eastAsia" w:eastAsia="仿宋_GB2312"/>
          <w:color w:val="000000"/>
          <w:sz w:val="32"/>
          <w:szCs w:val="32"/>
          <w:highlight w:val="none"/>
          <w:lang w:eastAsia="zh-CN"/>
        </w:rPr>
        <w:t>中山</w:t>
      </w:r>
      <w:r>
        <w:rPr>
          <w:rFonts w:eastAsia="仿宋_GB2312"/>
          <w:color w:val="000000"/>
          <w:sz w:val="32"/>
          <w:szCs w:val="32"/>
          <w:highlight w:val="none"/>
        </w:rPr>
        <w:t>供电局应向</w:t>
      </w:r>
      <w:r>
        <w:rPr>
          <w:rFonts w:hint="eastAsia" w:eastAsia="仿宋_GB2312"/>
          <w:color w:val="000000"/>
          <w:sz w:val="32"/>
          <w:szCs w:val="32"/>
          <w:highlight w:val="none"/>
          <w:lang w:eastAsia="zh-CN"/>
        </w:rPr>
        <w:t>中山</w:t>
      </w:r>
      <w:r>
        <w:rPr>
          <w:rFonts w:eastAsia="仿宋_GB2312"/>
          <w:color w:val="000000"/>
          <w:sz w:val="32"/>
          <w:szCs w:val="32"/>
          <w:highlight w:val="none"/>
        </w:rPr>
        <w:t>市发展和改革局提交</w:t>
      </w:r>
      <w:r>
        <w:rPr>
          <w:rFonts w:hint="eastAsia" w:eastAsia="仿宋_GB2312"/>
          <w:color w:val="000000"/>
          <w:sz w:val="32"/>
          <w:szCs w:val="32"/>
          <w:highlight w:val="none"/>
          <w:lang w:eastAsia="zh-CN"/>
        </w:rPr>
        <w:t>中山</w:t>
      </w:r>
      <w:r>
        <w:rPr>
          <w:rFonts w:eastAsia="仿宋_GB2312"/>
          <w:color w:val="000000"/>
          <w:sz w:val="32"/>
          <w:szCs w:val="32"/>
          <w:highlight w:val="none"/>
        </w:rPr>
        <w:t>市供电可靠性情况报告，</w:t>
      </w:r>
      <w:r>
        <w:rPr>
          <w:rFonts w:hint="eastAsia" w:eastAsia="仿宋_GB2312"/>
          <w:color w:val="000000"/>
          <w:sz w:val="32"/>
          <w:szCs w:val="32"/>
          <w:highlight w:val="none"/>
          <w:lang w:eastAsia="zh-CN"/>
        </w:rPr>
        <w:t>中山</w:t>
      </w:r>
      <w:r>
        <w:rPr>
          <w:rFonts w:eastAsia="仿宋_GB2312"/>
          <w:color w:val="000000"/>
          <w:sz w:val="32"/>
          <w:szCs w:val="32"/>
          <w:highlight w:val="none"/>
        </w:rPr>
        <w:t>市发展和改革局对相关材料进行审核、核算，确定惩罚的金额，并正式函告</w:t>
      </w:r>
      <w:r>
        <w:rPr>
          <w:rFonts w:hint="eastAsia" w:eastAsia="仿宋_GB2312"/>
          <w:color w:val="000000"/>
          <w:sz w:val="32"/>
          <w:szCs w:val="32"/>
          <w:highlight w:val="none"/>
          <w:lang w:eastAsia="zh-CN"/>
        </w:rPr>
        <w:t>中山</w:t>
      </w:r>
      <w:r>
        <w:rPr>
          <w:rFonts w:eastAsia="仿宋_GB2312"/>
          <w:color w:val="000000"/>
          <w:sz w:val="32"/>
          <w:szCs w:val="32"/>
          <w:highlight w:val="none"/>
        </w:rPr>
        <w:t>供电局。</w:t>
      </w:r>
      <w:r>
        <w:rPr>
          <w:rFonts w:hint="eastAsia" w:eastAsia="仿宋_GB2312"/>
          <w:color w:val="000000"/>
          <w:sz w:val="32"/>
          <w:szCs w:val="32"/>
          <w:highlight w:val="none"/>
          <w:lang w:eastAsia="zh-CN"/>
        </w:rPr>
        <w:t>中山</w:t>
      </w:r>
      <w:r>
        <w:rPr>
          <w:rFonts w:eastAsia="仿宋_GB2312"/>
          <w:color w:val="000000"/>
          <w:sz w:val="32"/>
          <w:szCs w:val="32"/>
          <w:highlight w:val="none"/>
        </w:rPr>
        <w:t>供电局收到公函后30日内按规定将惩罚资金</w:t>
      </w:r>
      <w:r>
        <w:rPr>
          <w:rFonts w:hint="eastAsia" w:ascii="FangSong_GB2312" w:hAnsi="FangSong_GB2312" w:eastAsia="FangSong_GB2312"/>
          <w:sz w:val="32"/>
        </w:rPr>
        <w:t>上缴国库</w:t>
      </w:r>
      <w:r>
        <w:rPr>
          <w:rFonts w:eastAsia="仿宋_GB2312"/>
          <w:color w:val="000000"/>
          <w:sz w:val="32"/>
          <w:szCs w:val="32"/>
          <w:highlight w:val="none"/>
        </w:rPr>
        <w:t>。</w:t>
      </w:r>
      <w:r>
        <w:rPr>
          <w:rFonts w:hint="eastAsia" w:eastAsia="仿宋_GB2312"/>
          <w:color w:val="000000"/>
          <w:sz w:val="32"/>
          <w:szCs w:val="32"/>
          <w:highlight w:val="none"/>
          <w:lang w:eastAsia="zh-CN"/>
        </w:rPr>
        <w:t>中山</w:t>
      </w:r>
      <w:r>
        <w:rPr>
          <w:rFonts w:eastAsia="仿宋_GB2312"/>
          <w:color w:val="000000"/>
          <w:sz w:val="32"/>
          <w:szCs w:val="32"/>
          <w:highlight w:val="none"/>
        </w:rPr>
        <w:t>供电局对惩罚金额有异议，应在收到公函后5日内提出书面异议，由</w:t>
      </w:r>
      <w:r>
        <w:rPr>
          <w:rFonts w:hint="eastAsia" w:eastAsia="仿宋_GB2312"/>
          <w:color w:val="000000"/>
          <w:sz w:val="32"/>
          <w:szCs w:val="32"/>
          <w:highlight w:val="none"/>
          <w:lang w:eastAsia="zh-CN"/>
        </w:rPr>
        <w:t>中山</w:t>
      </w:r>
      <w:r>
        <w:rPr>
          <w:rFonts w:eastAsia="仿宋_GB2312"/>
          <w:color w:val="000000"/>
          <w:sz w:val="32"/>
          <w:szCs w:val="32"/>
          <w:highlight w:val="none"/>
        </w:rPr>
        <w:t>市发展和改革局对异议材料进行审核，逾期未提出异议的视为认可惩罚金额。</w:t>
      </w:r>
      <w:r>
        <w:rPr>
          <w:rFonts w:hint="eastAsia" w:eastAsia="仿宋_GB2312"/>
          <w:color w:val="000000"/>
          <w:sz w:val="32"/>
          <w:szCs w:val="32"/>
          <w:highlight w:val="none"/>
          <w:lang w:val="en-US" w:eastAsia="zh-CN"/>
        </w:rPr>
        <w:t xml:space="preserve"> </w:t>
      </w:r>
    </w:p>
    <w:p>
      <w:pPr>
        <w:spacing w:line="240" w:lineRule="auto"/>
        <w:jc w:val="center"/>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第四章 保障措施</w:t>
      </w:r>
    </w:p>
    <w:p>
      <w:pPr>
        <w:spacing w:line="240" w:lineRule="auto"/>
        <w:ind w:firstLine="640" w:firstLineChars="200"/>
        <w:jc w:val="left"/>
        <w:rPr>
          <w:rFonts w:hint="default" w:eastAsia="仿宋_GB2312"/>
          <w:color w:val="000000"/>
          <w:sz w:val="32"/>
          <w:szCs w:val="32"/>
          <w:highlight w:val="none"/>
        </w:rPr>
      </w:pPr>
      <w:r>
        <w:rPr>
          <w:rFonts w:hint="eastAsia" w:eastAsia="仿宋_GB2312"/>
          <w:color w:val="000000"/>
          <w:sz w:val="32"/>
          <w:szCs w:val="32"/>
          <w:highlight w:val="none"/>
          <w:lang w:eastAsia="zh-CN"/>
        </w:rPr>
        <w:t>第七条</w:t>
      </w:r>
      <w:r>
        <w:rPr>
          <w:rFonts w:hint="eastAsia" w:eastAsia="仿宋_GB2312"/>
          <w:color w:val="000000"/>
          <w:sz w:val="32"/>
          <w:szCs w:val="32"/>
          <w:highlight w:val="none"/>
          <w:lang w:val="en-US" w:eastAsia="zh-CN"/>
        </w:rPr>
        <w:t xml:space="preserve"> </w:t>
      </w:r>
      <w:r>
        <w:rPr>
          <w:rFonts w:hint="default" w:eastAsia="仿宋_GB2312"/>
          <w:color w:val="000000"/>
          <w:sz w:val="32"/>
          <w:szCs w:val="32"/>
          <w:highlight w:val="none"/>
        </w:rPr>
        <w:t>为</w:t>
      </w:r>
      <w:r>
        <w:rPr>
          <w:rFonts w:hint="eastAsia" w:eastAsia="仿宋_GB2312"/>
          <w:color w:val="000000"/>
          <w:sz w:val="32"/>
          <w:szCs w:val="32"/>
          <w:highlight w:val="none"/>
          <w:lang w:eastAsia="zh-CN"/>
        </w:rPr>
        <w:t>配合</w:t>
      </w:r>
      <w:r>
        <w:rPr>
          <w:rFonts w:hint="default" w:eastAsia="仿宋_GB2312"/>
          <w:color w:val="000000"/>
          <w:sz w:val="32"/>
          <w:szCs w:val="32"/>
          <w:highlight w:val="none"/>
        </w:rPr>
        <w:t>提高</w:t>
      </w:r>
      <w:r>
        <w:rPr>
          <w:rFonts w:hint="eastAsia" w:eastAsia="仿宋_GB2312"/>
          <w:color w:val="000000"/>
          <w:sz w:val="32"/>
          <w:szCs w:val="32"/>
          <w:highlight w:val="none"/>
          <w:lang w:val="en-US" w:eastAsia="zh-CN"/>
        </w:rPr>
        <w:t>中山</w:t>
      </w:r>
      <w:r>
        <w:rPr>
          <w:rFonts w:hint="default" w:eastAsia="仿宋_GB2312"/>
          <w:color w:val="000000"/>
          <w:sz w:val="32"/>
          <w:szCs w:val="32"/>
          <w:highlight w:val="none"/>
        </w:rPr>
        <w:t>市供电可靠性，</w:t>
      </w:r>
      <w:r>
        <w:rPr>
          <w:rFonts w:hint="eastAsia" w:eastAsia="仿宋_GB2312"/>
          <w:color w:val="000000"/>
          <w:sz w:val="32"/>
          <w:szCs w:val="32"/>
          <w:highlight w:val="none"/>
          <w:lang w:val="en-US" w:eastAsia="zh-CN"/>
        </w:rPr>
        <w:t>中山供电局</w:t>
      </w:r>
      <w:r>
        <w:rPr>
          <w:rFonts w:hint="default" w:eastAsia="仿宋_GB2312"/>
          <w:color w:val="000000"/>
          <w:sz w:val="32"/>
          <w:szCs w:val="32"/>
          <w:highlight w:val="none"/>
        </w:rPr>
        <w:t>要不断提升供电服务水平，努力打造国内领先</w:t>
      </w:r>
      <w:r>
        <w:rPr>
          <w:rFonts w:hint="eastAsia" w:eastAsia="仿宋_GB2312"/>
          <w:color w:val="000000"/>
          <w:sz w:val="32"/>
          <w:szCs w:val="32"/>
          <w:highlight w:val="none"/>
          <w:lang w:eastAsia="zh-CN"/>
        </w:rPr>
        <w:t>的</w:t>
      </w:r>
      <w:r>
        <w:rPr>
          <w:rFonts w:hint="default" w:eastAsia="仿宋_GB2312"/>
          <w:color w:val="000000"/>
          <w:sz w:val="32"/>
          <w:szCs w:val="32"/>
          <w:highlight w:val="none"/>
        </w:rPr>
        <w:t>电力营商环境。</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lang w:eastAsia="zh-CN"/>
        </w:rPr>
        <w:t>（一）</w:t>
      </w:r>
      <w:r>
        <w:rPr>
          <w:rFonts w:hint="default" w:eastAsia="仿宋_GB2312"/>
          <w:color w:val="000000"/>
          <w:sz w:val="32"/>
          <w:szCs w:val="32"/>
          <w:highlight w:val="none"/>
        </w:rPr>
        <w:t>对标国内领先标准和水平，出台相应的优质供电服务承诺和保障措施，并严格执行。</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lang w:eastAsia="zh-CN"/>
        </w:rPr>
        <w:t>（二）</w:t>
      </w:r>
      <w:r>
        <w:rPr>
          <w:rFonts w:hint="default" w:eastAsia="仿宋_GB2312"/>
          <w:color w:val="000000"/>
          <w:sz w:val="32"/>
          <w:szCs w:val="32"/>
          <w:highlight w:val="none"/>
        </w:rPr>
        <w:t>加强坚强智能电网建设，不断提高电网运行管理水平，提升城市供电可靠性。</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lang w:eastAsia="zh-CN"/>
        </w:rPr>
        <w:t>（三）</w:t>
      </w:r>
      <w:r>
        <w:rPr>
          <w:rFonts w:hint="default" w:eastAsia="仿宋_GB2312"/>
          <w:color w:val="000000"/>
          <w:sz w:val="32"/>
          <w:szCs w:val="32"/>
          <w:highlight w:val="none"/>
        </w:rPr>
        <w:t>扩大不停电作业范围，拓展复杂条件下的不停电作业，提升计划停电管控水平，持续降低客户年平均停电时间和年平均停电次数。</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lang w:eastAsia="zh-CN"/>
        </w:rPr>
        <w:t>（四）</w:t>
      </w:r>
      <w:r>
        <w:rPr>
          <w:rFonts w:hint="default" w:eastAsia="仿宋_GB2312"/>
          <w:color w:val="000000"/>
          <w:sz w:val="32"/>
          <w:szCs w:val="32"/>
          <w:highlight w:val="none"/>
        </w:rPr>
        <w:t>深化“互联网+”服务，推动智慧无人营业厅建设，提供线上申请办电、查询进度等服务。明确线上办电服务的范围和标准，简化客户办电资料，进一步提升客户获得电力便利度。</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lang w:eastAsia="zh-CN"/>
        </w:rPr>
        <w:t>（五）</w:t>
      </w:r>
      <w:r>
        <w:rPr>
          <w:rFonts w:hint="default" w:eastAsia="仿宋_GB2312"/>
          <w:color w:val="000000"/>
          <w:sz w:val="32"/>
          <w:szCs w:val="32"/>
          <w:highlight w:val="none"/>
        </w:rPr>
        <w:t>加强政企联动、数据互通，优化内部接电工作流程，加强时限管控，不断简化客户办电环节，持续压减客户电力接入时间。</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lang w:eastAsia="zh-CN"/>
        </w:rPr>
        <w:t>（六）</w:t>
      </w:r>
      <w:r>
        <w:rPr>
          <w:rFonts w:hint="default" w:eastAsia="仿宋_GB2312"/>
          <w:color w:val="000000"/>
          <w:sz w:val="32"/>
          <w:szCs w:val="32"/>
          <w:highlight w:val="none"/>
        </w:rPr>
        <w:t>严格执行政府制定的电价和服务政策，及时在线上、线下公开电价、服务标准，提升供电服务透明度。</w:t>
      </w:r>
    </w:p>
    <w:p>
      <w:pPr>
        <w:spacing w:line="240" w:lineRule="auto"/>
        <w:jc w:val="center"/>
        <w:rPr>
          <w:rFonts w:hint="default" w:eastAsia="仿宋_GB2312"/>
          <w:color w:val="000000"/>
          <w:sz w:val="32"/>
          <w:szCs w:val="32"/>
          <w:highlight w:val="none"/>
          <w:lang w:val="en-US" w:eastAsia="zh-CN"/>
        </w:rPr>
      </w:pPr>
    </w:p>
    <w:p>
      <w:pPr>
        <w:spacing w:line="240" w:lineRule="auto"/>
        <w:jc w:val="cente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第五章  附则</w:t>
      </w:r>
    </w:p>
    <w:p>
      <w:pPr>
        <w:spacing w:line="240" w:lineRule="auto"/>
        <w:ind w:firstLine="640" w:firstLineChars="200"/>
        <w:jc w:val="left"/>
        <w:rPr>
          <w:rFonts w:hint="default" w:eastAsia="仿宋_GB2312"/>
          <w:color w:val="000000"/>
          <w:sz w:val="32"/>
          <w:szCs w:val="32"/>
          <w:highlight w:val="none"/>
        </w:rPr>
      </w:pPr>
      <w:r>
        <w:rPr>
          <w:rFonts w:hint="default" w:eastAsia="仿宋_GB2312"/>
          <w:color w:val="000000"/>
          <w:sz w:val="32"/>
          <w:szCs w:val="32"/>
          <w:highlight w:val="none"/>
        </w:rPr>
        <w:t>第</w:t>
      </w:r>
      <w:r>
        <w:rPr>
          <w:rFonts w:hint="eastAsia" w:eastAsia="仿宋_GB2312"/>
          <w:color w:val="000000"/>
          <w:sz w:val="32"/>
          <w:szCs w:val="32"/>
          <w:highlight w:val="none"/>
          <w:lang w:eastAsia="zh-CN"/>
        </w:rPr>
        <w:t>八</w:t>
      </w:r>
      <w:r>
        <w:rPr>
          <w:rFonts w:hint="default" w:eastAsia="仿宋_GB2312"/>
          <w:color w:val="000000"/>
          <w:sz w:val="32"/>
          <w:szCs w:val="32"/>
          <w:highlight w:val="none"/>
        </w:rPr>
        <w:t>条  本实施办法由</w:t>
      </w:r>
      <w:r>
        <w:rPr>
          <w:rFonts w:hint="eastAsia" w:eastAsia="仿宋_GB2312"/>
          <w:color w:val="000000"/>
          <w:sz w:val="32"/>
          <w:szCs w:val="32"/>
          <w:highlight w:val="none"/>
          <w:lang w:eastAsia="zh-CN"/>
        </w:rPr>
        <w:t>中山</w:t>
      </w:r>
      <w:r>
        <w:rPr>
          <w:rFonts w:hint="default" w:eastAsia="仿宋_GB2312"/>
          <w:color w:val="000000"/>
          <w:sz w:val="32"/>
          <w:szCs w:val="32"/>
          <w:highlight w:val="none"/>
        </w:rPr>
        <w:t>市发展和改革局负责解释，自印发之日起实施，有效期至202</w:t>
      </w:r>
      <w:r>
        <w:rPr>
          <w:rFonts w:hint="eastAsia" w:eastAsia="仿宋_GB2312"/>
          <w:color w:val="000000"/>
          <w:sz w:val="32"/>
          <w:szCs w:val="32"/>
          <w:highlight w:val="none"/>
          <w:lang w:val="en-US" w:eastAsia="zh-CN"/>
        </w:rPr>
        <w:t>3</w:t>
      </w:r>
      <w:r>
        <w:rPr>
          <w:rFonts w:hint="default" w:eastAsia="仿宋_GB2312"/>
          <w:color w:val="000000"/>
          <w:sz w:val="32"/>
          <w:szCs w:val="32"/>
          <w:highlight w:val="none"/>
        </w:rPr>
        <w:t>年12月31日。</w:t>
      </w:r>
    </w:p>
    <w:p>
      <w:pPr>
        <w:spacing w:line="240" w:lineRule="auto"/>
        <w:ind w:left="643"/>
        <w:jc w:val="left"/>
        <w:rPr>
          <w:rFonts w:ascii="黑体" w:hAnsi="黑体" w:eastAsia="黑体"/>
          <w:bCs/>
          <w:color w:val="000000"/>
          <w:sz w:val="32"/>
          <w:szCs w:val="32"/>
          <w:highlight w:val="none"/>
        </w:rPr>
      </w:pPr>
    </w:p>
    <w:p>
      <w:pPr>
        <w:pStyle w:val="10"/>
        <w:spacing w:line="240" w:lineRule="auto"/>
        <w:ind w:firstLine="640"/>
        <w:rPr>
          <w:rFonts w:ascii="Times New Roman" w:hAnsi="Times New Roman" w:eastAsia="仿宋_GB2312" w:cs="Times New Roman"/>
          <w:color w:val="000000"/>
          <w:sz w:val="32"/>
          <w:szCs w:val="32"/>
          <w:highlight w:val="none"/>
          <w:lang w:val="en-US" w:eastAsia="zh-CN" w:bidi="ar-SA"/>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531" w:header="851" w:footer="141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implified Arabic Fixed">
    <w:panose1 w:val="02070309020205020404"/>
    <w:charset w:val="00"/>
    <w:family w:val="auto"/>
    <w:pitch w:val="default"/>
    <w:sig w:usb0="00002003" w:usb1="00000000" w:usb2="00000000" w:usb3="00000000" w:csb0="00000041" w:csb1="20080000"/>
  </w:font>
  <w:font w:name="Sakkal Majalla">
    <w:panose1 w:val="02000000000000000000"/>
    <w:charset w:val="00"/>
    <w:family w:val="auto"/>
    <w:pitch w:val="default"/>
    <w:sig w:usb0="A000207F" w:usb1="C000204B" w:usb2="00000008" w:usb3="00000000" w:csb0="2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442" w:wrap="around" w:vAnchor="text" w:hAnchor="margin" w:xAlign="outside" w:y="1"/>
      <w:ind w:firstLine="140" w:firstLineChars="50"/>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Style w:val="8"/>
        <w:rFonts w:hint="eastAsia"/>
        <w:sz w:val="28"/>
        <w:szCs w:val="28"/>
      </w:rPr>
      <w:t xml:space="preserve"> —</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MjRhMjUxNDlkNTFlZTY4NzhlNGU4ODBlMjZhZmQifQ=="/>
  </w:docVars>
  <w:rsids>
    <w:rsidRoot w:val="00172A27"/>
    <w:rsid w:val="03646B23"/>
    <w:rsid w:val="08132473"/>
    <w:rsid w:val="0AC30AF9"/>
    <w:rsid w:val="0BEA7B92"/>
    <w:rsid w:val="14907174"/>
    <w:rsid w:val="19126D33"/>
    <w:rsid w:val="1B1202D1"/>
    <w:rsid w:val="1C5C4808"/>
    <w:rsid w:val="1C5C7BE8"/>
    <w:rsid w:val="1EBA1AAC"/>
    <w:rsid w:val="1FD5677D"/>
    <w:rsid w:val="24D5048E"/>
    <w:rsid w:val="29F17771"/>
    <w:rsid w:val="31E90A47"/>
    <w:rsid w:val="326B7DC7"/>
    <w:rsid w:val="357D4425"/>
    <w:rsid w:val="35EE65D5"/>
    <w:rsid w:val="360529BC"/>
    <w:rsid w:val="3835436F"/>
    <w:rsid w:val="3A9C3411"/>
    <w:rsid w:val="3C565014"/>
    <w:rsid w:val="3D316137"/>
    <w:rsid w:val="3DD971E5"/>
    <w:rsid w:val="3FFF2738"/>
    <w:rsid w:val="47790DDA"/>
    <w:rsid w:val="4B171D3E"/>
    <w:rsid w:val="4C157574"/>
    <w:rsid w:val="50C0038F"/>
    <w:rsid w:val="53BE3146"/>
    <w:rsid w:val="56F11F11"/>
    <w:rsid w:val="5C4A13D9"/>
    <w:rsid w:val="5D262C6F"/>
    <w:rsid w:val="5FB734C1"/>
    <w:rsid w:val="5FEE3D46"/>
    <w:rsid w:val="66AC754C"/>
    <w:rsid w:val="6C4E7F65"/>
    <w:rsid w:val="6E77E7EB"/>
    <w:rsid w:val="74431707"/>
    <w:rsid w:val="749C2751"/>
    <w:rsid w:val="77AFF3A4"/>
    <w:rsid w:val="BCDE41D8"/>
    <w:rsid w:val="DEBF1AE2"/>
    <w:rsid w:val="DFFF7749"/>
    <w:rsid w:val="FB3D66AC"/>
    <w:rsid w:val="FE5898DC"/>
    <w:rsid w:val="FFFF9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黑体"/>
      <w:b/>
      <w:bCs/>
      <w:kern w:val="44"/>
      <w:sz w:val="2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List Paragraph"/>
    <w:basedOn w:val="1"/>
    <w:qFormat/>
    <w:uiPriority w:val="0"/>
    <w:pPr>
      <w:ind w:firstLine="420" w:firstLineChars="200"/>
    </w:pPr>
    <w:rPr>
      <w:szCs w:val="21"/>
    </w:rPr>
  </w:style>
  <w:style w:type="paragraph" w:customStyle="1" w:styleId="10">
    <w:name w:val="Body text|1"/>
    <w:basedOn w:val="1"/>
    <w:qFormat/>
    <w:uiPriority w:val="0"/>
    <w:pPr>
      <w:spacing w:line="350" w:lineRule="auto"/>
      <w:ind w:firstLine="400"/>
    </w:pPr>
    <w:rPr>
      <w:rFonts w:ascii="宋体" w:hAnsi="宋体" w:cs="宋体"/>
      <w:sz w:val="30"/>
      <w:szCs w:val="30"/>
      <w:lang w:val="zh-TW" w:eastAsia="zh-TW" w:bidi="zh-TW"/>
    </w:rPr>
  </w:style>
  <w:style w:type="paragraph" w:customStyle="1" w:styleId="11">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1547</Words>
  <Characters>1697</Characters>
  <Lines>0</Lines>
  <Paragraphs>0</Paragraphs>
  <TotalTime>0</TotalTime>
  <ScaleCrop>false</ScaleCrop>
  <LinksUpToDate>false</LinksUpToDate>
  <CharactersWithSpaces>1761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2020-11-29T10:32:00Z</dcterms:created>
  <dc:creator>关富敏</dc:creator>
  <cp:lastModifiedBy>陈金花</cp:lastModifiedBy>
  <cp:lastPrinted>2023-06-01T01:13:00Z</cp:lastPrinted>
  <dcterms:modified xsi:type="dcterms:W3CDTF">2023-06-25T02:40:59Z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34DE19EA627F493595F40B75CB954ABC</vt:lpwstr>
  </property>
</Properties>
</file>