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沙溪镇陈执好“工改工”宗地项目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“三旧”改造方案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" w:line="570" w:lineRule="exact"/>
        <w:ind w:left="-15" w:firstLine="607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根据中山市城市更新（“三旧”改造）专项规划和经批复规划条件论证，沙溪镇人民政府拟对位于中山市沙溪镇圣狮海傍西路8号的陈执好的工业用地进行改造，由权利人陈执好自主改造，采取全面改造的改造方式。改造方案如下：</w:t>
      </w:r>
    </w:p>
    <w:p>
      <w:pPr>
        <w:pStyle w:val="4"/>
        <w:numPr>
          <w:ilvl w:val="0"/>
          <w:numId w:val="1"/>
        </w:numPr>
        <w:spacing w:line="570" w:lineRule="exact"/>
        <w:ind w:left="612"/>
        <w:rPr>
          <w:rFonts w:hint="default"/>
        </w:rPr>
      </w:pPr>
      <w:r>
        <w:rPr>
          <w:rFonts w:hint="default" w:ascii="Times New Roman" w:hAnsi="Times New Roman" w:cs="Times New Roman"/>
          <w:color w:val="auto"/>
        </w:rPr>
        <w:t>改造地块基本情况</w:t>
      </w:r>
    </w:p>
    <w:p>
      <w:pPr>
        <w:pStyle w:val="4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02" w:firstLine="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</w:rPr>
        <w:t>总体情况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改造地块位于中山市沙溪镇圣狮海傍西路8号，北至海傍路，南至中山市鑫安能物流有限公司，东至圣狮康业路，西至利鸿发制衣（中国）有限公司，用地面积0.6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</w:rPr>
        <w:t>公顷（6151.6平方米，折合约9.23亩）。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02" w:firstLine="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楷体" w:cs="Times New Roman"/>
          <w:color w:val="auto"/>
          <w:lang w:eastAsia="zh-CN"/>
        </w:rPr>
        <w:t>（二）</w:t>
      </w:r>
      <w:r>
        <w:rPr>
          <w:rFonts w:hint="default" w:ascii="Times New Roman" w:hAnsi="Times New Roman" w:eastAsia="楷体" w:cs="Times New Roman"/>
          <w:color w:val="auto"/>
        </w:rPr>
        <w:t>标图入库情况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8" w:line="570" w:lineRule="exact"/>
        <w:ind w:left="-13" w:firstLine="617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改造地块已办理标图入库，图斑编号44200071545，图斑面积0.6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</w:rPr>
        <w:t xml:space="preserve">公顷（6152.3平方米，折合约9.23亩），项目改造范围均位于标图入库图斑范围内。 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12" w:firstLine="0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</w:rPr>
        <w:t>权属情况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593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范围内全部属国有建设用地，土地用途为工业，已按规定办理用地报批手续。改造涉及的土地已经确权、登记，不动产权证号为粤（2023）中山市不动产权第0036203号，为土地权利人陈执好自1998年10月开始使用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02" w:firstLine="0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</w:rPr>
        <w:t>土地现状情况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593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改造主体地块现状陈执好属下实际使用的国有建设土地0.6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</w:rPr>
        <w:t>2公顷。改造主体地块现有2栋建筑物，为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土地权利人</w:t>
      </w:r>
      <w:r>
        <w:rPr>
          <w:rFonts w:hint="default" w:ascii="Times New Roman" w:hAnsi="Times New Roman" w:eastAsia="仿宋_GB2312" w:cs="Times New Roman"/>
          <w:color w:val="auto"/>
        </w:rPr>
        <w:t>陈执好自2008年1月开始使用。已按规定办理规划报建等手续，现有建筑面积2376.5平方米，现状容积率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</w:rPr>
        <w:t>0.3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</w:rPr>
        <w:t>，作工业用途所用，该地块目前已拆除建筑面积0平方米，改造前年产值为0万元，年税收为0万元。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593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改造地块现已完成闲置放行手续，不涉及抵押、历史文化资源要素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土壤环境潜在监管地块</w:t>
      </w:r>
      <w:r>
        <w:rPr>
          <w:rFonts w:hint="default" w:ascii="Times New Roman" w:hAnsi="Times New Roman" w:eastAsia="仿宋_GB2312" w:cs="Times New Roman"/>
          <w:color w:val="auto"/>
        </w:rPr>
        <w:t>等情况。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12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（五）</w:t>
      </w:r>
      <w:r>
        <w:rPr>
          <w:rFonts w:hint="eastAsia" w:ascii="楷体_GB2312" w:hAnsi="楷体_GB2312" w:eastAsia="楷体_GB2312" w:cs="楷体_GB2312"/>
          <w:color w:val="auto"/>
        </w:rPr>
        <w:t>规划情况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617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改造主体地块符合土地利用总体规划、经批复规划条件论证，已纳入《中山市城市更新（“三旧”改造）专项规划（2020-2035）》。其中，在土地利用总体规划中，属城镇建设用地0.6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</w:rPr>
        <w:t>2公顷（6151.6平方米，折合约9.23亩）。在《中山市沙溪镇工业用地规划条件论证报告》（中府函〔2022〕230 号）中，一类工业用地0.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963</w:t>
      </w:r>
      <w:r>
        <w:rPr>
          <w:rFonts w:hint="default" w:ascii="Times New Roman" w:hAnsi="Times New Roman" w:eastAsia="仿宋_GB2312" w:cs="Times New Roman"/>
          <w:color w:val="auto"/>
        </w:rPr>
        <w:t>公顷（5963.37平方米，折合约8.95亩），道路用地0.0</w:t>
      </w:r>
      <w:r>
        <w:rPr>
          <w:rFonts w:hint="eastAsia" w:ascii="Times New Roman" w:hAnsi="Times New Roman" w:eastAsia="仿宋_GB2312" w:cs="Times New Roman"/>
          <w:color w:val="auto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</w:rPr>
        <w:t>公顷（188.23平方米，折合约0.28亩），容积率为1.0-3.5，建筑密度35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</w:rPr>
        <w:t>-60%，绿地率10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</w:rPr>
        <w:t>-15%，生产性建筑高度≤50米（特殊工艺除外），配套设施建筑高度≤100米。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617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改造地块位于城镇开发边界内，不涉及永久基本农田、生态保护红线等管控要求。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570" w:lineRule="exact"/>
        <w:ind w:left="612"/>
        <w:textAlignment w:val="auto"/>
        <w:outlineLvl w:val="1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二、改造意愿情况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617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改造范围涉及陈执好一个权利主体，沙溪镇人民政府已按照法律法规，就改造范围、土地现状、改造主体及拟改造情况等事项征询权利人改造意愿，经征询原权利人，同意将涉及土地、房屋纳入改造范围。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三、改造主体及拟改造情况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firstLine="617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根据有关规划要求，改造项目严格按照土地利用总体规划、经批复规划条件论证管控要求实施建设。在详细规划中属道路的公益性用地部分，日后属地政府按规划开发建设时，应无偿将用地交给属地政府使用。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" w:line="570" w:lineRule="exact"/>
        <w:ind w:left="-15" w:firstLine="607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该改造项目属工改工宗地项目，拟采取权利人自主改造方式，拟实施全面改造。由陈执好作为改造主体，改造后将用于引进工业智能制造型企业，在符合详细规划的基础上，容积率不小于2.5，新建建筑面积不小于15379平方米，不保留原有建筑。项目相关情况符合国家《产业结构调整指导目录》、《中山市“三线一单”生态环境分区管控方案》、《中山市涉挥发性有机物项目环保准入管理规定》。改造后年产值将达到7384万元（800万元/亩），年税收将达到161.53万元（17.5万元/亩）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12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四、资金筹措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3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项目改造成本不低于4650万元，由改造主体拟投入资金不低于4650万元，均为自有资金。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12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五、开发时序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项目开发周期为2年。开发时间为2023年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</w:rPr>
        <w:t>月，拟投入资金不低于4650万元，拟建建筑面积不少于15379平方米。</w:t>
      </w:r>
      <w:bookmarkStart w:id="0" w:name="_GoBack"/>
      <w:bookmarkEnd w:id="0"/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12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六、实施监管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3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详见沙溪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镇人民政府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与改造主体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项目实施监管协议。</w:t>
      </w:r>
    </w:p>
    <w:sectPr>
      <w:pgSz w:w="11916" w:h="16848"/>
      <w:pgMar w:top="2113" w:right="1428" w:bottom="1295" w:left="158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2" w:lineRule="auto"/>
      </w:pPr>
      <w:r>
        <w:separator/>
      </w:r>
    </w:p>
  </w:footnote>
  <w:footnote w:type="continuationSeparator" w:id="1">
    <w:p>
      <w:pPr>
        <w:spacing w:before="0" w:after="0" w:line="38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1F2A5"/>
    <w:multiLevelType w:val="singleLevel"/>
    <w:tmpl w:val="3C61F2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DC"/>
    <w:rsid w:val="00041878"/>
    <w:rsid w:val="00075354"/>
    <w:rsid w:val="0022035D"/>
    <w:rsid w:val="00222B90"/>
    <w:rsid w:val="0029586E"/>
    <w:rsid w:val="002B719E"/>
    <w:rsid w:val="00301BF0"/>
    <w:rsid w:val="00353725"/>
    <w:rsid w:val="004540DA"/>
    <w:rsid w:val="00497F62"/>
    <w:rsid w:val="004B2764"/>
    <w:rsid w:val="00511748"/>
    <w:rsid w:val="006070F5"/>
    <w:rsid w:val="00607EBE"/>
    <w:rsid w:val="00634F22"/>
    <w:rsid w:val="00675172"/>
    <w:rsid w:val="006B666A"/>
    <w:rsid w:val="0077028F"/>
    <w:rsid w:val="007A6B42"/>
    <w:rsid w:val="008034F0"/>
    <w:rsid w:val="008465EC"/>
    <w:rsid w:val="00850AF4"/>
    <w:rsid w:val="00900D9D"/>
    <w:rsid w:val="00940160"/>
    <w:rsid w:val="009C733F"/>
    <w:rsid w:val="00A101A6"/>
    <w:rsid w:val="00B214E9"/>
    <w:rsid w:val="00BB74D5"/>
    <w:rsid w:val="00BD7C84"/>
    <w:rsid w:val="00C317FB"/>
    <w:rsid w:val="00CF7B04"/>
    <w:rsid w:val="00D87F61"/>
    <w:rsid w:val="00E47EDC"/>
    <w:rsid w:val="00E61F93"/>
    <w:rsid w:val="00EC1F3C"/>
    <w:rsid w:val="00ED06D2"/>
    <w:rsid w:val="00ED7A45"/>
    <w:rsid w:val="00EE55FD"/>
    <w:rsid w:val="00F15BBD"/>
    <w:rsid w:val="00F7789A"/>
    <w:rsid w:val="00FA5878"/>
    <w:rsid w:val="00FC34F2"/>
    <w:rsid w:val="00FC52AE"/>
    <w:rsid w:val="06A77D69"/>
    <w:rsid w:val="08C34054"/>
    <w:rsid w:val="09913EBA"/>
    <w:rsid w:val="0CB86380"/>
    <w:rsid w:val="0F663B0E"/>
    <w:rsid w:val="14A42DCA"/>
    <w:rsid w:val="1871170C"/>
    <w:rsid w:val="1C775C44"/>
    <w:rsid w:val="21372D0F"/>
    <w:rsid w:val="21CA5444"/>
    <w:rsid w:val="22961F39"/>
    <w:rsid w:val="239E0EFF"/>
    <w:rsid w:val="28CB65FE"/>
    <w:rsid w:val="2D423165"/>
    <w:rsid w:val="312A4E39"/>
    <w:rsid w:val="356815AA"/>
    <w:rsid w:val="36343F2A"/>
    <w:rsid w:val="38396273"/>
    <w:rsid w:val="390A0F86"/>
    <w:rsid w:val="39A229E2"/>
    <w:rsid w:val="3C5062E7"/>
    <w:rsid w:val="3C836101"/>
    <w:rsid w:val="45DE5E2D"/>
    <w:rsid w:val="47EB085F"/>
    <w:rsid w:val="4A5970DB"/>
    <w:rsid w:val="56A2292A"/>
    <w:rsid w:val="56A40F30"/>
    <w:rsid w:val="58882378"/>
    <w:rsid w:val="589C176E"/>
    <w:rsid w:val="59463DB0"/>
    <w:rsid w:val="5B5D0EE4"/>
    <w:rsid w:val="5D263BBD"/>
    <w:rsid w:val="5DF102C3"/>
    <w:rsid w:val="6B174040"/>
    <w:rsid w:val="789A2435"/>
    <w:rsid w:val="7D241CF8"/>
    <w:rsid w:val="7D6854E7"/>
    <w:rsid w:val="7F6E1CF2"/>
    <w:rsid w:val="7FA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3" w:line="382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link w:val="9"/>
    <w:qFormat/>
    <w:uiPriority w:val="9"/>
    <w:pPr>
      <w:keepNext/>
      <w:keepLines/>
      <w:spacing w:after="182" w:line="259" w:lineRule="auto"/>
      <w:ind w:left="627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4">
    <w:name w:val="heading 2"/>
    <w:next w:val="1"/>
    <w:link w:val="10"/>
    <w:unhideWhenUsed/>
    <w:qFormat/>
    <w:uiPriority w:val="9"/>
    <w:pPr>
      <w:keepNext/>
      <w:keepLines/>
      <w:spacing w:after="182" w:line="259" w:lineRule="auto"/>
      <w:ind w:left="627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字符"/>
    <w:link w:val="3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10">
    <w:name w:val="标题 2 字符"/>
    <w:link w:val="4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2F4D-FAFE-481E-9047-383306FBF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1528</Characters>
  <Lines>12</Lines>
  <Paragraphs>3</Paragraphs>
  <TotalTime>7</TotalTime>
  <ScaleCrop>false</ScaleCrop>
  <LinksUpToDate>false</LinksUpToDate>
  <CharactersWithSpaces>1793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2023-06-09T10:31:00Z</dcterms:created>
  <dc:creator>user_common</dc:creator>
  <cp:lastModifiedBy>王冲</cp:lastModifiedBy>
  <cp:lastPrinted>2023-05-05T01:55:00Z</cp:lastPrinted>
  <dcterms:modified xsi:type="dcterms:W3CDTF">2023-06-25T03:14:36Z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8B08090E18DF4ECDA8B48A215B9AAADB</vt:lpwstr>
  </property>
</Properties>
</file>