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74" w:lineRule="exact"/>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黄圃镇</w:t>
      </w:r>
      <w:r>
        <w:rPr>
          <w:rFonts w:hint="eastAsia" w:ascii="方正小标宋简体" w:hAnsi="方正小标宋简体" w:eastAsia="方正小标宋简体" w:cs="方正小标宋简体"/>
          <w:spacing w:val="-6"/>
          <w:sz w:val="44"/>
          <w:szCs w:val="44"/>
          <w:lang w:val="en-US" w:eastAsia="zh-CN"/>
        </w:rPr>
        <w:t>廖景云</w:t>
      </w:r>
      <w:r>
        <w:rPr>
          <w:rFonts w:hint="eastAsia" w:ascii="方正小标宋简体" w:hAnsi="方正小标宋简体" w:eastAsia="方正小标宋简体" w:cs="方正小标宋简体"/>
          <w:spacing w:val="-6"/>
          <w:sz w:val="44"/>
          <w:szCs w:val="44"/>
        </w:rPr>
        <w:t>“工改工”宗地项目</w:t>
      </w:r>
    </w:p>
    <w:p>
      <w:pPr>
        <w:keepNext w:val="0"/>
        <w:keepLines w:val="0"/>
        <w:pageBreakBefore w:val="0"/>
        <w:widowControl w:val="0"/>
        <w:kinsoku/>
        <w:wordWrap/>
        <w:overflowPunct/>
        <w:topLinePunct w:val="0"/>
        <w:autoSpaceDN/>
        <w:bidi w:val="0"/>
        <w:adjustRightInd/>
        <w:snapToGrid/>
        <w:spacing w:line="574" w:lineRule="exact"/>
        <w:jc w:val="center"/>
        <w:textAlignment w:val="auto"/>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“三旧”改造方案</w:t>
      </w:r>
    </w:p>
    <w:p>
      <w:pPr>
        <w:keepNext w:val="0"/>
        <w:keepLines w:val="0"/>
        <w:pageBreakBefore w:val="0"/>
        <w:widowControl w:val="0"/>
        <w:kinsoku/>
        <w:wordWrap/>
        <w:overflowPunct/>
        <w:topLinePunct w:val="0"/>
        <w:autoSpaceDE w:val="0"/>
        <w:autoSpaceDN/>
        <w:bidi w:val="0"/>
        <w:adjustRightInd/>
        <w:snapToGrid/>
        <w:spacing w:line="574" w:lineRule="exact"/>
        <w:jc w:val="center"/>
        <w:textAlignment w:val="auto"/>
        <w:rPr>
          <w:rFonts w:hint="eastAsia" w:ascii="方正小标宋简体" w:hAnsi="方正小标宋简体" w:eastAsia="方正小标宋简体" w:cs="方正小标宋简体"/>
          <w:spacing w:val="-6"/>
          <w:kern w:val="2"/>
          <w:sz w:val="44"/>
          <w:szCs w:val="44"/>
        </w:rPr>
      </w:pP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sz w:val="32"/>
          <w:szCs w:val="32"/>
        </w:rPr>
        <w:t>根据中山市城市更新（“三旧”改造）专项规划和</w:t>
      </w:r>
      <w:r>
        <w:rPr>
          <w:rFonts w:hint="eastAsia" w:ascii="仿宋_GB2312" w:hAnsi="仿宋_GB2312" w:eastAsia="仿宋_GB2312" w:cs="仿宋_GB2312"/>
          <w:spacing w:val="-6"/>
          <w:kern w:val="0"/>
          <w:sz w:val="32"/>
          <w:szCs w:val="32"/>
        </w:rPr>
        <w:t>经批</w:t>
      </w:r>
      <w:r>
        <w:rPr>
          <w:rFonts w:hint="eastAsia" w:ascii="仿宋_GB2312" w:hAnsi="仿宋_GB2312" w:eastAsia="仿宋_GB2312" w:cs="仿宋_GB2312"/>
          <w:spacing w:val="-6"/>
          <w:sz w:val="32"/>
          <w:szCs w:val="32"/>
        </w:rPr>
        <w:t>复</w:t>
      </w:r>
      <w:r>
        <w:rPr>
          <w:rFonts w:hint="eastAsia" w:ascii="仿宋_GB2312" w:hAnsi="仿宋_GB2312" w:eastAsia="仿宋_GB2312" w:cs="仿宋_GB2312"/>
          <w:spacing w:val="-6"/>
          <w:kern w:val="0"/>
          <w:sz w:val="32"/>
          <w:szCs w:val="32"/>
        </w:rPr>
        <w:t>规划条件论证，黄圃镇人民政府拟对位于黄圃镇兴圃大道中的廖景云的旧厂房用地进行改造，由</w:t>
      </w:r>
      <w:r>
        <w:rPr>
          <w:rFonts w:hint="eastAsia" w:ascii="仿宋_GB2312" w:hAnsi="仿宋_GB2312" w:eastAsia="仿宋_GB2312" w:cs="仿宋_GB2312"/>
          <w:spacing w:val="-6"/>
          <w:kern w:val="0"/>
          <w:sz w:val="32"/>
          <w:szCs w:val="32"/>
          <w:lang w:val="en-US" w:eastAsia="zh-CN"/>
        </w:rPr>
        <w:t>土地权利人</w:t>
      </w:r>
      <w:r>
        <w:rPr>
          <w:rFonts w:hint="eastAsia" w:ascii="仿宋_GB2312" w:hAnsi="仿宋_GB2312" w:eastAsia="仿宋_GB2312" w:cs="仿宋_GB2312"/>
          <w:spacing w:val="-6"/>
          <w:kern w:val="0"/>
          <w:sz w:val="32"/>
          <w:szCs w:val="32"/>
        </w:rPr>
        <w:t>廖景云自主改造，</w:t>
      </w:r>
      <w:r>
        <w:rPr>
          <w:rFonts w:hint="eastAsia" w:ascii="仿宋_GB2312" w:hAnsi="仿宋_GB2312" w:eastAsia="仿宋_GB2312" w:cs="仿宋_GB2312"/>
          <w:spacing w:val="-6"/>
          <w:kern w:val="0"/>
          <w:sz w:val="32"/>
          <w:szCs w:val="32"/>
          <w:lang w:val="en-US" w:eastAsia="zh-CN"/>
        </w:rPr>
        <w:t>拟</w:t>
      </w:r>
      <w:r>
        <w:rPr>
          <w:rFonts w:hint="eastAsia" w:ascii="仿宋_GB2312" w:hAnsi="仿宋_GB2312" w:eastAsia="仿宋_GB2312" w:cs="仿宋_GB2312"/>
          <w:spacing w:val="-6"/>
          <w:kern w:val="0"/>
          <w:sz w:val="32"/>
          <w:szCs w:val="32"/>
        </w:rPr>
        <w:t>采取全面改造的改造方式。改造方案如下：</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ascii="黑体" w:hAnsi="黑体" w:eastAsia="黑体"/>
          <w:spacing w:val="-6"/>
          <w:kern w:val="0"/>
          <w:sz w:val="32"/>
          <w:szCs w:val="32"/>
        </w:rPr>
      </w:pPr>
      <w:r>
        <w:rPr>
          <w:rFonts w:hint="eastAsia" w:ascii="黑体" w:hAnsi="黑体" w:eastAsia="黑体"/>
          <w:spacing w:val="-6"/>
          <w:kern w:val="0"/>
          <w:sz w:val="32"/>
          <w:szCs w:val="32"/>
        </w:rPr>
        <w:t>一、改造地块基本情况</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楷体" w:hAnsi="楷体" w:eastAsia="楷体"/>
          <w:spacing w:val="-6"/>
          <w:sz w:val="32"/>
          <w:szCs w:val="32"/>
        </w:rPr>
      </w:pPr>
      <w:r>
        <w:rPr>
          <w:rFonts w:hint="eastAsia" w:ascii="楷体" w:hAnsi="楷体" w:eastAsia="楷体"/>
          <w:spacing w:val="-6"/>
          <w:sz w:val="32"/>
          <w:szCs w:val="32"/>
        </w:rPr>
        <w:t>（一）总体情况</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sz w:val="32"/>
          <w:szCs w:val="32"/>
        </w:rPr>
        <w:t>改造地块</w:t>
      </w:r>
      <w:r>
        <w:rPr>
          <w:rFonts w:hint="eastAsia" w:ascii="仿宋_GB2312" w:hAnsi="仿宋_GB2312" w:eastAsia="仿宋_GB2312" w:cs="仿宋_GB2312"/>
          <w:spacing w:val="-6"/>
          <w:kern w:val="0"/>
          <w:sz w:val="32"/>
          <w:szCs w:val="32"/>
        </w:rPr>
        <w:t>位于中山市黄圃镇兴圃大道中，北至兴圃大</w:t>
      </w:r>
      <w:r>
        <w:rPr>
          <w:rFonts w:hint="eastAsia" w:ascii="仿宋_GB2312" w:hAnsi="仿宋_GB2312" w:eastAsia="仿宋_GB2312" w:cs="仿宋_GB2312"/>
          <w:spacing w:val="-6"/>
          <w:kern w:val="0"/>
          <w:sz w:val="32"/>
          <w:szCs w:val="32"/>
          <w:lang w:val="en-US" w:eastAsia="zh-CN"/>
        </w:rPr>
        <w:t>道</w:t>
      </w:r>
      <w:r>
        <w:rPr>
          <w:rFonts w:hint="eastAsia" w:ascii="仿宋_GB2312" w:hAnsi="仿宋_GB2312" w:eastAsia="仿宋_GB2312" w:cs="仿宋_GB2312"/>
          <w:spacing w:val="-6"/>
          <w:kern w:val="0"/>
          <w:sz w:val="32"/>
          <w:szCs w:val="32"/>
        </w:rPr>
        <w:t>，南至马安村小路，东至太昌汽车维修厂，西至丰洋五金电器厂，用地面积1.11998公顷（11199.8平方米，折合约16.7997亩）。</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ascii="楷体" w:hAnsi="楷体" w:eastAsia="楷体"/>
          <w:spacing w:val="-6"/>
          <w:sz w:val="32"/>
          <w:szCs w:val="32"/>
        </w:rPr>
      </w:pPr>
      <w:r>
        <w:rPr>
          <w:rFonts w:hint="eastAsia" w:ascii="楷体" w:hAnsi="楷体" w:eastAsia="楷体"/>
          <w:spacing w:val="-6"/>
          <w:sz w:val="32"/>
          <w:szCs w:val="32"/>
        </w:rPr>
        <w:t>（二）标图入库情况</w:t>
      </w:r>
    </w:p>
    <w:p>
      <w:pPr>
        <w:keepNext w:val="0"/>
        <w:keepLines w:val="0"/>
        <w:pageBreakBefore w:val="0"/>
        <w:widowControl w:val="0"/>
        <w:kinsoku/>
        <w:wordWrap/>
        <w:overflowPunct/>
        <w:topLinePunct w:val="0"/>
        <w:autoSpaceDN/>
        <w:bidi w:val="0"/>
        <w:adjustRightInd/>
        <w:snapToGrid/>
        <w:spacing w:line="574" w:lineRule="exact"/>
        <w:ind w:firstLine="616"/>
        <w:jc w:val="both"/>
        <w:textAlignment w:val="auto"/>
        <w:rPr>
          <w:rFonts w:ascii="仿宋_GB2312" w:eastAsia="仿宋_GB2312"/>
          <w:sz w:val="32"/>
          <w:szCs w:val="32"/>
        </w:rPr>
      </w:pPr>
      <w:r>
        <w:rPr>
          <w:rFonts w:hint="eastAsia" w:ascii="仿宋_GB2312" w:eastAsia="仿宋_GB2312"/>
          <w:sz w:val="32"/>
          <w:szCs w:val="32"/>
        </w:rPr>
        <w:t>改造</w:t>
      </w:r>
      <w:r>
        <w:rPr>
          <w:rFonts w:hint="eastAsia" w:ascii="仿宋_GB2312" w:eastAsia="仿宋_GB2312"/>
          <w:sz w:val="32"/>
          <w:szCs w:val="32"/>
          <w:lang w:val="en-US" w:eastAsia="zh-CN"/>
        </w:rPr>
        <w:t>项目</w:t>
      </w:r>
      <w:r>
        <w:rPr>
          <w:rFonts w:hint="eastAsia" w:ascii="仿宋_GB2312" w:eastAsia="仿宋_GB2312"/>
          <w:sz w:val="32"/>
          <w:szCs w:val="32"/>
        </w:rPr>
        <w:t>已于20</w:t>
      </w:r>
      <w:r>
        <w:rPr>
          <w:rFonts w:hint="eastAsia" w:ascii="仿宋_GB2312" w:eastAsia="仿宋_GB2312"/>
          <w:sz w:val="32"/>
          <w:szCs w:val="32"/>
          <w:lang w:val="en-US" w:eastAsia="zh-CN"/>
        </w:rPr>
        <w:t>23</w:t>
      </w:r>
      <w:r>
        <w:rPr>
          <w:rFonts w:hint="eastAsia" w:ascii="仿宋_GB2312" w:eastAsia="仿宋_GB2312"/>
          <w:sz w:val="32"/>
          <w:szCs w:val="32"/>
        </w:rPr>
        <w:t>年6月纳入“三旧”标图入库，图斑编号442000</w:t>
      </w:r>
      <w:r>
        <w:rPr>
          <w:rFonts w:hint="eastAsia" w:ascii="仿宋_GB2312" w:eastAsia="仿宋_GB2312"/>
          <w:sz w:val="32"/>
          <w:szCs w:val="32"/>
          <w:lang w:val="en-US" w:eastAsia="zh-CN"/>
        </w:rPr>
        <w:t>63562</w:t>
      </w:r>
      <w:r>
        <w:rPr>
          <w:rFonts w:hint="eastAsia" w:ascii="仿宋_GB2312" w:eastAsia="仿宋_GB2312"/>
          <w:sz w:val="32"/>
          <w:szCs w:val="32"/>
        </w:rPr>
        <w:t>，图斑面积1.11987公顷（11198.7平方米，折合约16.7981亩），</w:t>
      </w:r>
      <w:r>
        <w:rPr>
          <w:rFonts w:hint="eastAsia" w:ascii="仿宋_GB2312" w:hAnsi="仿宋_GB2312" w:eastAsia="仿宋_GB2312" w:cs="仿宋_GB2312"/>
          <w:spacing w:val="-6"/>
          <w:sz w:val="32"/>
          <w:szCs w:val="32"/>
        </w:rPr>
        <w:t>纳入本次改造范围</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为改造主体地块；另有0.00011公顷（1.1平方米</w:t>
      </w:r>
      <w:r>
        <w:rPr>
          <w:rFonts w:hint="eastAsia" w:ascii="仿宋_GB2312" w:hAnsi="仿宋_GB2312" w:eastAsia="仿宋_GB2312" w:cs="仿宋_GB2312"/>
          <w:spacing w:val="-6"/>
          <w:kern w:val="0"/>
          <w:sz w:val="32"/>
          <w:szCs w:val="32"/>
        </w:rPr>
        <w:t>，折合约</w:t>
      </w:r>
      <w:r>
        <w:rPr>
          <w:rFonts w:hint="eastAsia" w:ascii="仿宋_GB2312" w:hAnsi="仿宋_GB2312" w:eastAsia="仿宋_GB2312" w:cs="仿宋_GB2312"/>
          <w:spacing w:val="-6"/>
          <w:kern w:val="0"/>
          <w:sz w:val="32"/>
          <w:szCs w:val="32"/>
          <w:lang w:val="en-US" w:eastAsia="zh-CN"/>
        </w:rPr>
        <w:t>0.0017</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sz w:val="32"/>
          <w:szCs w:val="32"/>
          <w:lang w:val="en-US" w:eastAsia="zh-CN"/>
        </w:rPr>
        <w:t>）由于在现行土地利用总体规划中为非建设用地，不符合“三旧”标图入库要求，不纳入本次改造范围</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ascii="楷体" w:hAnsi="楷体" w:eastAsia="楷体"/>
          <w:spacing w:val="-6"/>
          <w:sz w:val="32"/>
          <w:szCs w:val="32"/>
        </w:rPr>
      </w:pPr>
      <w:r>
        <w:rPr>
          <w:rFonts w:hint="eastAsia" w:ascii="楷体" w:hAnsi="楷体" w:eastAsia="楷体"/>
          <w:spacing w:val="-6"/>
          <w:sz w:val="32"/>
          <w:szCs w:val="32"/>
        </w:rPr>
        <w:t>（三）权属情况</w:t>
      </w:r>
    </w:p>
    <w:p>
      <w:pPr>
        <w:keepNext w:val="0"/>
        <w:keepLines w:val="0"/>
        <w:pageBreakBefore w:val="0"/>
        <w:widowControl w:val="0"/>
        <w:kinsoku/>
        <w:wordWrap/>
        <w:overflowPunct/>
        <w:topLinePunct w:val="0"/>
        <w:autoSpaceDE w:val="0"/>
        <w:autoSpaceDN/>
        <w:bidi w:val="0"/>
        <w:adjustRightInd/>
        <w:snapToGrid/>
        <w:spacing w:line="574" w:lineRule="exact"/>
        <w:ind w:firstLine="592"/>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spacing w:val="-6"/>
          <w:kern w:val="0"/>
          <w:sz w:val="32"/>
          <w:szCs w:val="32"/>
        </w:rPr>
        <w:t>改造范围内全部属国有建设用地，土地用途为工业，改造涉及的土地已经确权、登记，不动产权证号为粤（2022）中山市不动产权第</w:t>
      </w:r>
      <w:r>
        <w:rPr>
          <w:rFonts w:hint="eastAsia" w:ascii="仿宋_GB2312" w:hAnsi="仿宋_GB2312" w:eastAsia="仿宋_GB2312" w:cs="仿宋_GB2312"/>
          <w:color w:val="auto"/>
          <w:spacing w:val="-6"/>
          <w:kern w:val="0"/>
          <w:sz w:val="32"/>
          <w:szCs w:val="32"/>
          <w:lang w:val="en-US" w:eastAsia="zh-CN"/>
        </w:rPr>
        <w:t>0327949</w:t>
      </w:r>
      <w:r>
        <w:rPr>
          <w:rFonts w:hint="eastAsia" w:ascii="仿宋_GB2312" w:hAnsi="仿宋_GB2312" w:eastAsia="仿宋_GB2312" w:cs="仿宋_GB2312"/>
          <w:color w:val="auto"/>
          <w:spacing w:val="-6"/>
          <w:kern w:val="0"/>
          <w:sz w:val="32"/>
          <w:szCs w:val="32"/>
        </w:rPr>
        <w:t>号，为土地权利人廖景云自2000年12月开始使用。</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ascii="楷体" w:hAnsi="楷体" w:eastAsia="楷体"/>
          <w:color w:val="auto"/>
          <w:spacing w:val="-6"/>
          <w:sz w:val="32"/>
          <w:szCs w:val="32"/>
        </w:rPr>
      </w:pPr>
      <w:r>
        <w:rPr>
          <w:rFonts w:hint="eastAsia" w:ascii="楷体" w:hAnsi="楷体" w:eastAsia="楷体"/>
          <w:color w:val="auto"/>
          <w:spacing w:val="-6"/>
          <w:sz w:val="32"/>
          <w:szCs w:val="32"/>
        </w:rPr>
        <w:t>（四）土地利用现状情况</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color w:val="auto"/>
          <w:spacing w:val="-6"/>
          <w:kern w:val="0"/>
          <w:sz w:val="32"/>
          <w:szCs w:val="32"/>
        </w:rPr>
        <w:t>改造地块现有</w:t>
      </w:r>
      <w:r>
        <w:rPr>
          <w:rFonts w:hint="eastAsia" w:ascii="仿宋_GB2312" w:hAnsi="仿宋_GB2312" w:eastAsia="仿宋_GB2312" w:cs="仿宋_GB2312"/>
          <w:color w:val="auto"/>
          <w:spacing w:val="-6"/>
          <w:kern w:val="0"/>
          <w:sz w:val="32"/>
          <w:szCs w:val="32"/>
          <w:lang w:val="en-US" w:eastAsia="zh-CN"/>
        </w:rPr>
        <w:t>14</w:t>
      </w:r>
      <w:r>
        <w:rPr>
          <w:rFonts w:hint="eastAsia" w:ascii="仿宋_GB2312" w:hAnsi="仿宋_GB2312" w:eastAsia="仿宋_GB2312" w:cs="仿宋_GB2312"/>
          <w:color w:val="auto"/>
          <w:spacing w:val="-6"/>
          <w:kern w:val="0"/>
          <w:sz w:val="32"/>
          <w:szCs w:val="32"/>
        </w:rPr>
        <w:t>栋建筑物，为原产权人罗锡梅、廖景云自2000年12月建设并开始使用。已按规定办理规划报建等手续，现有建筑面积</w:t>
      </w:r>
      <w:r>
        <w:rPr>
          <w:rFonts w:hint="eastAsia" w:ascii="仿宋_GB2312" w:hAnsi="仿宋_GB2312" w:eastAsia="仿宋_GB2312" w:cs="仿宋_GB2312"/>
          <w:color w:val="auto"/>
          <w:spacing w:val="-6"/>
          <w:kern w:val="0"/>
          <w:sz w:val="32"/>
          <w:szCs w:val="32"/>
          <w:lang w:val="en-US" w:eastAsia="zh-CN"/>
        </w:rPr>
        <w:t>约9454</w:t>
      </w:r>
      <w:r>
        <w:rPr>
          <w:rFonts w:hint="eastAsia" w:ascii="仿宋_GB2312" w:hAnsi="仿宋_GB2312" w:eastAsia="仿宋_GB2312" w:cs="仿宋_GB2312"/>
          <w:color w:val="auto"/>
          <w:spacing w:val="-6"/>
          <w:kern w:val="0"/>
          <w:sz w:val="32"/>
          <w:szCs w:val="32"/>
        </w:rPr>
        <w:t>平方米，现状容积率0.</w:t>
      </w:r>
      <w:r>
        <w:rPr>
          <w:rFonts w:hint="eastAsia" w:ascii="仿宋_GB2312" w:hAnsi="仿宋_GB2312" w:eastAsia="仿宋_GB2312" w:cs="仿宋_GB2312"/>
          <w:color w:val="auto"/>
          <w:spacing w:val="-6"/>
          <w:kern w:val="0"/>
          <w:sz w:val="32"/>
          <w:szCs w:val="32"/>
          <w:lang w:val="en-US" w:eastAsia="zh-CN"/>
        </w:rPr>
        <w:t>84</w:t>
      </w:r>
      <w:r>
        <w:rPr>
          <w:rFonts w:hint="eastAsia" w:ascii="仿宋_GB2312" w:hAnsi="仿宋_GB2312" w:eastAsia="仿宋_GB2312" w:cs="仿宋_GB2312"/>
          <w:color w:val="auto"/>
          <w:spacing w:val="-6"/>
          <w:kern w:val="0"/>
          <w:sz w:val="32"/>
          <w:szCs w:val="32"/>
        </w:rPr>
        <w:t>，作工业厂房用途所用。该地块目前已拆除建筑面积0平方米，改造前年产值为</w:t>
      </w:r>
      <w:r>
        <w:rPr>
          <w:rFonts w:hint="eastAsia" w:ascii="仿宋_GB2312" w:hAnsi="仿宋_GB2312" w:eastAsia="仿宋_GB2312" w:cs="仿宋_GB2312"/>
          <w:color w:val="auto"/>
          <w:spacing w:val="-6"/>
          <w:kern w:val="0"/>
          <w:sz w:val="32"/>
          <w:szCs w:val="32"/>
          <w:lang w:val="en-US" w:eastAsia="zh-CN"/>
        </w:rPr>
        <w:t>3487</w:t>
      </w:r>
      <w:r>
        <w:rPr>
          <w:rFonts w:hint="eastAsia" w:ascii="仿宋_GB2312" w:hAnsi="仿宋_GB2312" w:eastAsia="仿宋_GB2312" w:cs="仿宋_GB2312"/>
          <w:color w:val="auto"/>
          <w:spacing w:val="-6"/>
          <w:kern w:val="0"/>
          <w:sz w:val="32"/>
          <w:szCs w:val="32"/>
        </w:rPr>
        <w:t>万元</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lang w:val="en-US" w:eastAsia="zh-CN"/>
        </w:rPr>
        <w:t>亩均产值约208万元/亩）</w:t>
      </w:r>
      <w:r>
        <w:rPr>
          <w:rFonts w:hint="eastAsia" w:ascii="仿宋_GB2312" w:hAnsi="仿宋_GB2312" w:eastAsia="仿宋_GB2312" w:cs="仿宋_GB2312"/>
          <w:color w:val="auto"/>
          <w:spacing w:val="-6"/>
          <w:kern w:val="0"/>
          <w:sz w:val="32"/>
          <w:szCs w:val="32"/>
        </w:rPr>
        <w:t>，年税收为</w:t>
      </w:r>
      <w:r>
        <w:rPr>
          <w:rFonts w:hint="eastAsia" w:ascii="仿宋_GB2312" w:hAnsi="仿宋_GB2312" w:eastAsia="仿宋_GB2312" w:cs="仿宋_GB2312"/>
          <w:color w:val="auto"/>
          <w:spacing w:val="-6"/>
          <w:kern w:val="0"/>
          <w:sz w:val="32"/>
          <w:szCs w:val="32"/>
          <w:lang w:val="en-US" w:eastAsia="zh-CN"/>
        </w:rPr>
        <w:t>50</w:t>
      </w:r>
      <w:r>
        <w:rPr>
          <w:rFonts w:hint="eastAsia" w:ascii="仿宋_GB2312" w:hAnsi="仿宋_GB2312" w:eastAsia="仿宋_GB2312" w:cs="仿宋_GB2312"/>
          <w:color w:val="auto"/>
          <w:spacing w:val="-6"/>
          <w:kern w:val="0"/>
          <w:sz w:val="32"/>
          <w:szCs w:val="32"/>
        </w:rPr>
        <w:t>万元</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lang w:val="en-US" w:eastAsia="zh-CN"/>
        </w:rPr>
        <w:t>亩均税收约3万元/亩）</w:t>
      </w:r>
      <w:r>
        <w:rPr>
          <w:rFonts w:hint="eastAsia" w:ascii="仿宋_GB2312" w:hAnsi="仿宋_GB2312" w:eastAsia="仿宋_GB2312" w:cs="仿宋_GB2312"/>
          <w:color w:val="auto"/>
          <w:spacing w:val="-6"/>
          <w:kern w:val="0"/>
          <w:sz w:val="32"/>
          <w:szCs w:val="32"/>
        </w:rPr>
        <w:t>。</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rPr>
        <w:t>改造地块不涉及闲置、历史文化资源要素等情况；</w:t>
      </w:r>
      <w:r>
        <w:rPr>
          <w:rFonts w:hint="eastAsia" w:ascii="仿宋_GB2312" w:hAnsi="仿宋_GB2312" w:eastAsia="仿宋_GB2312" w:cs="仿宋_GB2312"/>
          <w:spacing w:val="-6"/>
          <w:kern w:val="0"/>
          <w:sz w:val="32"/>
          <w:szCs w:val="32"/>
          <w:lang w:eastAsia="zh-CN"/>
        </w:rPr>
        <w:t>地块不存在抵押，</w:t>
      </w:r>
      <w:r>
        <w:rPr>
          <w:rFonts w:hint="eastAsia" w:ascii="仿宋_GB2312" w:hAnsi="仿宋_GB2312" w:eastAsia="仿宋_GB2312" w:cs="仿宋_GB2312"/>
          <w:spacing w:val="-6"/>
          <w:sz w:val="32"/>
          <w:szCs w:val="24"/>
          <w:lang w:val="en-US" w:eastAsia="zh-CN"/>
        </w:rPr>
        <w:t>不</w:t>
      </w:r>
      <w:r>
        <w:rPr>
          <w:rFonts w:hint="eastAsia" w:ascii="仿宋_GB2312" w:hAnsi="仿宋_GB2312" w:eastAsia="仿宋_GB2312" w:cs="仿宋_GB2312"/>
          <w:spacing w:val="-6"/>
          <w:sz w:val="32"/>
          <w:szCs w:val="24"/>
          <w:lang w:eastAsia="zh-CN"/>
        </w:rPr>
        <w:t>涉及土壤环境潜在监管地块情况。</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ascii="楷体" w:hAnsi="楷体" w:eastAsia="楷体"/>
          <w:spacing w:val="-6"/>
          <w:sz w:val="32"/>
          <w:szCs w:val="32"/>
        </w:rPr>
      </w:pPr>
      <w:r>
        <w:rPr>
          <w:rFonts w:hint="eastAsia" w:ascii="楷体" w:hAnsi="楷体" w:eastAsia="楷体"/>
          <w:spacing w:val="-6"/>
          <w:sz w:val="32"/>
          <w:szCs w:val="32"/>
        </w:rPr>
        <w:t>（五）规划情况</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仿宋_GB2312" w:hAnsi="仿宋_GB2312" w:eastAsia="仿宋_GB2312" w:cs="仿宋_GB2312"/>
          <w:color w:val="00B050"/>
          <w:spacing w:val="-6"/>
          <w:kern w:val="0"/>
          <w:sz w:val="32"/>
          <w:szCs w:val="32"/>
          <w:highlight w:val="yellow"/>
        </w:rPr>
      </w:pPr>
      <w:r>
        <w:rPr>
          <w:rFonts w:hint="eastAsia" w:ascii="仿宋_GB2312" w:hAnsi="仿宋_GB2312" w:eastAsia="仿宋_GB2312" w:cs="仿宋_GB2312"/>
          <w:spacing w:val="-6"/>
          <w:kern w:val="0"/>
          <w:sz w:val="32"/>
          <w:szCs w:val="32"/>
        </w:rPr>
        <w:t>改造地块符合土地利用总体规划</w:t>
      </w:r>
      <w:r>
        <w:rPr>
          <w:rFonts w:hint="eastAsia" w:ascii="仿宋_GB2312" w:hAnsi="仿宋_GB2312" w:eastAsia="仿宋_GB2312" w:cs="仿宋_GB2312"/>
          <w:spacing w:val="-6"/>
          <w:kern w:val="0"/>
          <w:sz w:val="32"/>
          <w:szCs w:val="32"/>
          <w:lang w:val="en-US" w:eastAsia="zh-CN"/>
        </w:rPr>
        <w:t>和</w:t>
      </w:r>
      <w:r>
        <w:rPr>
          <w:rFonts w:hint="eastAsia" w:ascii="仿宋_GB2312" w:hAnsi="仿宋_GB2312" w:eastAsia="仿宋_GB2312" w:cs="仿宋_GB2312"/>
          <w:spacing w:val="-6"/>
          <w:sz w:val="32"/>
          <w:szCs w:val="24"/>
        </w:rPr>
        <w:t>《中山市黄圃镇工业用地规划条件论证报告》</w:t>
      </w:r>
      <w:r>
        <w:rPr>
          <w:rFonts w:hint="eastAsia" w:ascii="仿宋_GB2312" w:hAnsi="仿宋_GB2312" w:eastAsia="仿宋_GB2312" w:cs="仿宋_GB2312"/>
          <w:spacing w:val="-6"/>
          <w:sz w:val="32"/>
          <w:szCs w:val="24"/>
          <w:lang w:val="en-US" w:eastAsia="zh-CN"/>
        </w:rPr>
        <w:t>(中府函[2022]275号），</w:t>
      </w:r>
      <w:r>
        <w:rPr>
          <w:rFonts w:hint="eastAsia" w:ascii="仿宋_GB2312" w:hAnsi="仿宋_GB2312" w:eastAsia="仿宋_GB2312" w:cs="仿宋_GB2312"/>
          <w:color w:val="auto"/>
          <w:spacing w:val="0"/>
          <w:kern w:val="0"/>
          <w:sz w:val="32"/>
          <w:szCs w:val="32"/>
          <w:highlight w:val="none"/>
          <w:lang w:val="en-US" w:eastAsia="zh-CN"/>
        </w:rPr>
        <w:t>已</w:t>
      </w:r>
      <w:r>
        <w:rPr>
          <w:rFonts w:hint="eastAsia" w:ascii="仿宋_GB2312" w:hAnsi="仿宋_GB2312" w:eastAsia="仿宋_GB2312" w:cs="仿宋_GB2312"/>
          <w:color w:val="auto"/>
          <w:spacing w:val="0"/>
          <w:kern w:val="0"/>
          <w:sz w:val="32"/>
          <w:szCs w:val="32"/>
          <w:highlight w:val="none"/>
          <w:lang w:bidi="ar"/>
        </w:rPr>
        <w:t>纳入</w:t>
      </w:r>
      <w:r>
        <w:rPr>
          <w:rFonts w:hint="eastAsia" w:ascii="仿宋_GB2312" w:hAnsi="仿宋_GB2312" w:eastAsia="仿宋_GB2312" w:cs="仿宋_GB2312"/>
          <w:color w:val="auto"/>
          <w:spacing w:val="0"/>
          <w:kern w:val="0"/>
          <w:sz w:val="32"/>
          <w:szCs w:val="32"/>
          <w:highlight w:val="none"/>
          <w:lang w:eastAsia="zh-CN" w:bidi="ar"/>
        </w:rPr>
        <w:t>《中山</w:t>
      </w:r>
      <w:r>
        <w:rPr>
          <w:rFonts w:hint="eastAsia" w:ascii="仿宋_GB2312" w:hAnsi="仿宋_GB2312" w:eastAsia="仿宋_GB2312" w:cs="仿宋_GB2312"/>
          <w:color w:val="auto"/>
          <w:spacing w:val="0"/>
          <w:kern w:val="0"/>
          <w:sz w:val="32"/>
          <w:szCs w:val="32"/>
          <w:highlight w:val="none"/>
          <w:lang w:bidi="ar"/>
        </w:rPr>
        <w:t>市城市更新</w:t>
      </w:r>
      <w:r>
        <w:rPr>
          <w:rFonts w:hint="eastAsia" w:ascii="仿宋_GB2312" w:hAnsi="仿宋_GB2312" w:eastAsia="仿宋_GB2312" w:cs="仿宋_GB2312"/>
          <w:color w:val="auto"/>
          <w:spacing w:val="0"/>
          <w:kern w:val="0"/>
          <w:sz w:val="32"/>
          <w:szCs w:val="32"/>
          <w:highlight w:val="none"/>
          <w:lang w:eastAsia="zh-CN" w:bidi="ar"/>
        </w:rPr>
        <w:t>（“</w:t>
      </w:r>
      <w:r>
        <w:rPr>
          <w:rFonts w:hint="eastAsia" w:ascii="仿宋_GB2312" w:hAnsi="仿宋_GB2312" w:eastAsia="仿宋_GB2312" w:cs="仿宋_GB2312"/>
          <w:color w:val="auto"/>
          <w:spacing w:val="0"/>
          <w:kern w:val="0"/>
          <w:sz w:val="32"/>
          <w:szCs w:val="32"/>
          <w:highlight w:val="none"/>
          <w:lang w:val="en-US" w:eastAsia="zh-CN" w:bidi="ar"/>
        </w:rPr>
        <w:t>三旧</w:t>
      </w:r>
      <w:r>
        <w:rPr>
          <w:rFonts w:hint="eastAsia" w:ascii="仿宋_GB2312" w:hAnsi="仿宋_GB2312" w:eastAsia="仿宋_GB2312" w:cs="仿宋_GB2312"/>
          <w:color w:val="auto"/>
          <w:spacing w:val="0"/>
          <w:kern w:val="0"/>
          <w:sz w:val="32"/>
          <w:szCs w:val="32"/>
          <w:highlight w:val="none"/>
          <w:lang w:eastAsia="zh-CN" w:bidi="ar"/>
        </w:rPr>
        <w:t>”</w:t>
      </w:r>
      <w:r>
        <w:rPr>
          <w:rFonts w:hint="eastAsia" w:ascii="仿宋_GB2312" w:hAnsi="仿宋_GB2312" w:eastAsia="仿宋_GB2312" w:cs="仿宋_GB2312"/>
          <w:color w:val="auto"/>
          <w:spacing w:val="0"/>
          <w:kern w:val="0"/>
          <w:sz w:val="32"/>
          <w:szCs w:val="32"/>
          <w:highlight w:val="none"/>
          <w:lang w:val="en-US" w:eastAsia="zh-CN" w:bidi="ar"/>
        </w:rPr>
        <w:t>改造</w:t>
      </w:r>
      <w:r>
        <w:rPr>
          <w:rFonts w:hint="eastAsia" w:ascii="仿宋_GB2312" w:hAnsi="仿宋_GB2312" w:eastAsia="仿宋_GB2312" w:cs="仿宋_GB2312"/>
          <w:color w:val="auto"/>
          <w:spacing w:val="0"/>
          <w:kern w:val="0"/>
          <w:sz w:val="32"/>
          <w:szCs w:val="32"/>
          <w:highlight w:val="none"/>
          <w:lang w:eastAsia="zh-CN" w:bidi="ar"/>
        </w:rPr>
        <w:t>）</w:t>
      </w:r>
      <w:r>
        <w:rPr>
          <w:rFonts w:hint="eastAsia" w:ascii="仿宋_GB2312" w:hAnsi="仿宋_GB2312" w:eastAsia="仿宋_GB2312" w:cs="仿宋_GB2312"/>
          <w:color w:val="auto"/>
          <w:spacing w:val="0"/>
          <w:kern w:val="0"/>
          <w:sz w:val="32"/>
          <w:szCs w:val="32"/>
          <w:highlight w:val="none"/>
          <w:lang w:bidi="ar"/>
        </w:rPr>
        <w:t>专项规划</w:t>
      </w:r>
      <w:r>
        <w:rPr>
          <w:rFonts w:hint="eastAsia" w:ascii="仿宋_GB2312" w:hAnsi="仿宋_GB2312" w:eastAsia="仿宋_GB2312" w:cs="仿宋_GB2312"/>
          <w:color w:val="auto"/>
          <w:spacing w:val="0"/>
          <w:kern w:val="0"/>
          <w:sz w:val="32"/>
          <w:szCs w:val="32"/>
          <w:highlight w:val="none"/>
          <w:lang w:eastAsia="zh-CN" w:bidi="ar"/>
        </w:rPr>
        <w:t>（</w:t>
      </w:r>
      <w:r>
        <w:rPr>
          <w:rFonts w:hint="eastAsia" w:ascii="仿宋_GB2312" w:hAnsi="仿宋_GB2312" w:eastAsia="仿宋_GB2312" w:cs="仿宋_GB2312"/>
          <w:color w:val="auto"/>
          <w:spacing w:val="0"/>
          <w:kern w:val="0"/>
          <w:sz w:val="32"/>
          <w:szCs w:val="32"/>
          <w:highlight w:val="none"/>
          <w:lang w:val="en-US" w:eastAsia="zh-CN" w:bidi="ar"/>
        </w:rPr>
        <w:t>2020-2035年</w:t>
      </w:r>
      <w:r>
        <w:rPr>
          <w:rFonts w:hint="eastAsia" w:ascii="仿宋_GB2312" w:hAnsi="仿宋_GB2312" w:eastAsia="仿宋_GB2312" w:cs="仿宋_GB2312"/>
          <w:color w:val="auto"/>
          <w:spacing w:val="0"/>
          <w:kern w:val="0"/>
          <w:sz w:val="32"/>
          <w:szCs w:val="32"/>
          <w:highlight w:val="none"/>
          <w:lang w:eastAsia="zh-CN" w:bidi="ar"/>
        </w:rPr>
        <w:t>）》</w:t>
      </w:r>
      <w:r>
        <w:rPr>
          <w:rFonts w:hint="eastAsia" w:ascii="仿宋_GB2312" w:hAnsi="仿宋_GB2312" w:eastAsia="仿宋_GB2312" w:cs="仿宋_GB2312"/>
          <w:spacing w:val="-6"/>
          <w:kern w:val="0"/>
          <w:sz w:val="32"/>
          <w:szCs w:val="32"/>
        </w:rPr>
        <w:t>。其中，在土地利用总体规划中，属城镇建设用地1.11</w:t>
      </w:r>
      <w:r>
        <w:rPr>
          <w:rFonts w:hint="eastAsia" w:ascii="仿宋_GB2312" w:hAnsi="仿宋_GB2312" w:eastAsia="仿宋_GB2312" w:cs="仿宋_GB2312"/>
          <w:spacing w:val="-6"/>
          <w:kern w:val="0"/>
          <w:sz w:val="32"/>
          <w:szCs w:val="32"/>
          <w:lang w:val="en-US" w:eastAsia="zh-CN"/>
        </w:rPr>
        <w:t>16</w:t>
      </w:r>
      <w:r>
        <w:rPr>
          <w:rFonts w:hint="eastAsia" w:ascii="仿宋_GB2312" w:hAnsi="仿宋_GB2312" w:eastAsia="仿宋_GB2312" w:cs="仿宋_GB2312"/>
          <w:spacing w:val="-6"/>
          <w:kern w:val="0"/>
          <w:sz w:val="32"/>
          <w:szCs w:val="32"/>
        </w:rPr>
        <w:t>公顷（111</w:t>
      </w:r>
      <w:r>
        <w:rPr>
          <w:rFonts w:hint="eastAsia" w:ascii="仿宋_GB2312" w:hAnsi="仿宋_GB2312" w:eastAsia="仿宋_GB2312" w:cs="仿宋_GB2312"/>
          <w:spacing w:val="-6"/>
          <w:kern w:val="0"/>
          <w:sz w:val="32"/>
          <w:szCs w:val="32"/>
          <w:lang w:val="en-US" w:eastAsia="zh-CN"/>
        </w:rPr>
        <w:t>61.32</w:t>
      </w:r>
      <w:r>
        <w:rPr>
          <w:rFonts w:hint="eastAsia" w:ascii="仿宋_GB2312" w:hAnsi="仿宋_GB2312" w:eastAsia="仿宋_GB2312" w:cs="仿宋_GB2312"/>
          <w:spacing w:val="-6"/>
          <w:kern w:val="0"/>
          <w:sz w:val="32"/>
          <w:szCs w:val="32"/>
        </w:rPr>
        <w:t>平方米，折合约16.7</w:t>
      </w:r>
      <w:r>
        <w:rPr>
          <w:rFonts w:hint="eastAsia" w:ascii="仿宋_GB2312" w:hAnsi="仿宋_GB2312" w:eastAsia="仿宋_GB2312" w:cs="仿宋_GB2312"/>
          <w:spacing w:val="-6"/>
          <w:kern w:val="0"/>
          <w:sz w:val="32"/>
          <w:szCs w:val="32"/>
          <w:lang w:val="en-US" w:eastAsia="zh-CN"/>
        </w:rPr>
        <w:t>420</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属</w:t>
      </w:r>
      <w:r>
        <w:rPr>
          <w:rFonts w:hint="eastAsia" w:ascii="仿宋_GB2312" w:hAnsi="仿宋_GB2312" w:eastAsia="仿宋_GB2312" w:cs="仿宋_GB2312"/>
          <w:spacing w:val="-6"/>
          <w:kern w:val="0"/>
          <w:sz w:val="32"/>
          <w:szCs w:val="32"/>
          <w:lang w:val="en-US" w:eastAsia="zh-CN"/>
        </w:rPr>
        <w:t>公路</w:t>
      </w:r>
      <w:r>
        <w:rPr>
          <w:rFonts w:hint="eastAsia" w:ascii="仿宋_GB2312" w:hAnsi="仿宋_GB2312" w:eastAsia="仿宋_GB2312" w:cs="仿宋_GB2312"/>
          <w:spacing w:val="-6"/>
          <w:kern w:val="0"/>
          <w:sz w:val="32"/>
          <w:szCs w:val="32"/>
        </w:rPr>
        <w:t>用地</w:t>
      </w:r>
      <w:r>
        <w:rPr>
          <w:rFonts w:hint="eastAsia" w:ascii="仿宋_GB2312" w:hAnsi="仿宋_GB2312" w:eastAsia="仿宋_GB2312" w:cs="仿宋_GB2312"/>
          <w:spacing w:val="-6"/>
          <w:kern w:val="0"/>
          <w:sz w:val="32"/>
          <w:szCs w:val="32"/>
          <w:lang w:val="en-US" w:eastAsia="zh-CN"/>
        </w:rPr>
        <w:t>0.00303</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30.3</w:t>
      </w:r>
      <w:r>
        <w:rPr>
          <w:rFonts w:hint="eastAsia" w:ascii="仿宋_GB2312" w:hAnsi="仿宋_GB2312" w:eastAsia="仿宋_GB2312" w:cs="仿宋_GB2312"/>
          <w:spacing w:val="-6"/>
          <w:kern w:val="0"/>
          <w:sz w:val="32"/>
          <w:szCs w:val="32"/>
        </w:rPr>
        <w:t>平方米，折合约</w:t>
      </w:r>
      <w:r>
        <w:rPr>
          <w:rFonts w:hint="eastAsia" w:ascii="仿宋_GB2312" w:hAnsi="仿宋_GB2312" w:eastAsia="仿宋_GB2312" w:cs="仿宋_GB2312"/>
          <w:spacing w:val="-6"/>
          <w:kern w:val="0"/>
          <w:sz w:val="32"/>
          <w:szCs w:val="32"/>
          <w:lang w:val="en-US" w:eastAsia="zh-CN"/>
        </w:rPr>
        <w:t>0.0454</w:t>
      </w:r>
      <w:r>
        <w:rPr>
          <w:rFonts w:hint="eastAsia" w:ascii="仿宋_GB2312" w:hAnsi="仿宋_GB2312" w:eastAsia="仿宋_GB2312" w:cs="仿宋_GB2312"/>
          <w:spacing w:val="-6"/>
          <w:kern w:val="0"/>
          <w:sz w:val="32"/>
          <w:szCs w:val="32"/>
        </w:rPr>
        <w:t>亩）。在</w:t>
      </w:r>
      <w:r>
        <w:rPr>
          <w:rFonts w:hint="eastAsia" w:ascii="仿宋_GB2312" w:hAnsi="仿宋_GB2312" w:eastAsia="仿宋_GB2312" w:cs="仿宋_GB2312"/>
          <w:spacing w:val="-6"/>
          <w:sz w:val="32"/>
          <w:szCs w:val="32"/>
        </w:rPr>
        <w:t>现行控制性详细规划《中山市黄圃镇工业用地规划条件论证报告》（中府函〔2022〕275号）</w:t>
      </w:r>
      <w:r>
        <w:rPr>
          <w:rFonts w:hint="eastAsia" w:ascii="仿宋_GB2312" w:hAnsi="仿宋_GB2312" w:eastAsia="仿宋_GB2312" w:cs="仿宋_GB2312"/>
          <w:spacing w:val="-6"/>
          <w:kern w:val="0"/>
          <w:sz w:val="32"/>
          <w:szCs w:val="32"/>
        </w:rPr>
        <w:t>中，</w:t>
      </w:r>
      <w:r>
        <w:rPr>
          <w:rFonts w:hint="eastAsia" w:ascii="仿宋_GB2312" w:hAnsi="仿宋_GB2312" w:eastAsia="仿宋_GB2312" w:cs="仿宋_GB2312"/>
          <w:color w:val="auto"/>
          <w:spacing w:val="-6"/>
          <w:kern w:val="0"/>
          <w:sz w:val="32"/>
          <w:szCs w:val="32"/>
        </w:rPr>
        <w:t>一类工业用地1.119987公顷（11166.6平方米，折合约16.7</w:t>
      </w:r>
      <w:r>
        <w:rPr>
          <w:rFonts w:hint="eastAsia" w:ascii="仿宋_GB2312" w:hAnsi="仿宋_GB2312" w:eastAsia="仿宋_GB2312" w:cs="仿宋_GB2312"/>
          <w:color w:val="auto"/>
          <w:spacing w:val="-6"/>
          <w:kern w:val="0"/>
          <w:sz w:val="32"/>
          <w:szCs w:val="32"/>
          <w:lang w:val="en-US" w:eastAsia="zh-CN"/>
        </w:rPr>
        <w:t>499</w:t>
      </w:r>
      <w:r>
        <w:rPr>
          <w:rFonts w:hint="eastAsia" w:ascii="仿宋_GB2312" w:hAnsi="仿宋_GB2312" w:eastAsia="仿宋_GB2312" w:cs="仿宋_GB2312"/>
          <w:color w:val="auto"/>
          <w:spacing w:val="-6"/>
          <w:kern w:val="0"/>
          <w:sz w:val="32"/>
          <w:szCs w:val="32"/>
        </w:rPr>
        <w:t>亩），规划容积率1.0-3.5，建筑密度35%-60%，绿地率10%-15%，生产性建筑高度≤50米（特殊工艺除外），配套设施建筑高度≤100米；道路用地0.</w:t>
      </w:r>
      <w:r>
        <w:rPr>
          <w:rFonts w:hint="eastAsia" w:ascii="仿宋_GB2312" w:hAnsi="仿宋_GB2312" w:eastAsia="仿宋_GB2312" w:cs="仿宋_GB2312"/>
          <w:color w:val="auto"/>
          <w:spacing w:val="-6"/>
          <w:kern w:val="0"/>
          <w:sz w:val="32"/>
          <w:szCs w:val="32"/>
          <w:lang w:val="en-US" w:eastAsia="zh-CN"/>
        </w:rPr>
        <w:t>0025</w:t>
      </w:r>
      <w:r>
        <w:rPr>
          <w:rFonts w:hint="eastAsia" w:ascii="仿宋_GB2312" w:hAnsi="仿宋_GB2312" w:eastAsia="仿宋_GB2312" w:cs="仿宋_GB2312"/>
          <w:color w:val="auto"/>
          <w:spacing w:val="-6"/>
          <w:kern w:val="0"/>
          <w:sz w:val="32"/>
          <w:szCs w:val="32"/>
        </w:rPr>
        <w:t>公顷（</w:t>
      </w:r>
      <w:r>
        <w:rPr>
          <w:rFonts w:hint="eastAsia" w:ascii="仿宋_GB2312" w:hAnsi="仿宋_GB2312" w:eastAsia="仿宋_GB2312" w:cs="仿宋_GB2312"/>
          <w:color w:val="auto"/>
          <w:spacing w:val="-6"/>
          <w:kern w:val="0"/>
          <w:sz w:val="32"/>
          <w:szCs w:val="32"/>
          <w:lang w:val="en-US" w:eastAsia="zh-CN"/>
        </w:rPr>
        <w:t>25.02</w:t>
      </w:r>
      <w:r>
        <w:rPr>
          <w:rFonts w:hint="eastAsia" w:ascii="仿宋_GB2312" w:hAnsi="仿宋_GB2312" w:eastAsia="仿宋_GB2312" w:cs="仿宋_GB2312"/>
          <w:color w:val="auto"/>
          <w:spacing w:val="-6"/>
          <w:kern w:val="0"/>
          <w:sz w:val="32"/>
          <w:szCs w:val="32"/>
        </w:rPr>
        <w:t>平方米，折合约</w:t>
      </w:r>
      <w:r>
        <w:rPr>
          <w:rFonts w:hint="eastAsia" w:ascii="仿宋_GB2312" w:hAnsi="仿宋_GB2312" w:eastAsia="仿宋_GB2312" w:cs="仿宋_GB2312"/>
          <w:color w:val="auto"/>
          <w:spacing w:val="-6"/>
          <w:kern w:val="0"/>
          <w:sz w:val="32"/>
          <w:szCs w:val="32"/>
          <w:lang w:val="en-US" w:eastAsia="zh-CN"/>
        </w:rPr>
        <w:t>0.0375</w:t>
      </w:r>
      <w:r>
        <w:rPr>
          <w:rFonts w:hint="eastAsia" w:ascii="仿宋_GB2312" w:hAnsi="仿宋_GB2312" w:eastAsia="仿宋_GB2312" w:cs="仿宋_GB2312"/>
          <w:color w:val="auto"/>
          <w:spacing w:val="-6"/>
          <w:kern w:val="0"/>
          <w:sz w:val="32"/>
          <w:szCs w:val="32"/>
        </w:rPr>
        <w:t>亩）。</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改造地块位于城镇开发边界内，不涉及</w:t>
      </w:r>
      <w:r>
        <w:rPr>
          <w:rFonts w:hint="eastAsia" w:ascii="仿宋_GB2312" w:hAnsi="仿宋_GB2312" w:eastAsia="仿宋_GB2312" w:cs="仿宋_GB2312"/>
          <w:spacing w:val="-6"/>
          <w:sz w:val="32"/>
          <w:szCs w:val="32"/>
        </w:rPr>
        <w:t>永久基本农田、生态保护红线等管控要求。</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ascii="黑体" w:hAnsi="黑体" w:eastAsia="黑体"/>
          <w:spacing w:val="-6"/>
          <w:kern w:val="0"/>
          <w:sz w:val="32"/>
          <w:szCs w:val="32"/>
        </w:rPr>
      </w:pPr>
      <w:r>
        <w:rPr>
          <w:rFonts w:hint="eastAsia" w:ascii="黑体" w:hAnsi="黑体" w:eastAsia="黑体"/>
          <w:spacing w:val="-6"/>
          <w:kern w:val="0"/>
          <w:sz w:val="32"/>
          <w:szCs w:val="32"/>
        </w:rPr>
        <w:t>二、改造意愿情况</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改造范围涉及廖景云</w:t>
      </w:r>
      <w:r>
        <w:rPr>
          <w:rFonts w:hint="eastAsia" w:ascii="仿宋_GB2312" w:hAnsi="仿宋_GB2312" w:eastAsia="仿宋_GB2312" w:cs="仿宋_GB2312"/>
          <w:spacing w:val="-6"/>
          <w:kern w:val="2"/>
          <w:sz w:val="32"/>
          <w:szCs w:val="32"/>
          <w:lang w:val="en-US" w:eastAsia="zh-CN"/>
        </w:rPr>
        <w:t>1</w:t>
      </w:r>
      <w:r>
        <w:rPr>
          <w:rFonts w:hint="eastAsia" w:ascii="仿宋_GB2312" w:hAnsi="仿宋_GB2312" w:eastAsia="仿宋_GB2312" w:cs="仿宋_GB2312"/>
          <w:spacing w:val="-6"/>
          <w:kern w:val="2"/>
          <w:sz w:val="32"/>
          <w:szCs w:val="32"/>
        </w:rPr>
        <w:t>个权利主体，黄圃镇人民政府已按照法律法规，就改造范围、土地现状、改造主体及拟改造情况等事项经征询其改造意愿，权利主体同意将涉及土地、房屋纳入改造范围。</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ascii="黑体" w:hAnsi="黑体" w:eastAsia="黑体"/>
          <w:spacing w:val="-6"/>
          <w:kern w:val="0"/>
          <w:sz w:val="32"/>
          <w:szCs w:val="32"/>
        </w:rPr>
      </w:pPr>
      <w:r>
        <w:rPr>
          <w:rFonts w:hint="eastAsia" w:ascii="黑体" w:hAnsi="黑体" w:eastAsia="黑体"/>
          <w:spacing w:val="-6"/>
          <w:kern w:val="0"/>
          <w:sz w:val="32"/>
          <w:szCs w:val="32"/>
        </w:rPr>
        <w:t>三、改造主体及拟改造情况</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根据有关规划要求，改造项目严格按照土地利用总体规划、</w:t>
      </w:r>
      <w:r>
        <w:rPr>
          <w:rFonts w:hint="eastAsia" w:ascii="仿宋_GB2312" w:hAnsi="仿宋_GB2312" w:eastAsia="仿宋_GB2312" w:cs="仿宋_GB2312"/>
          <w:spacing w:val="-6"/>
          <w:kern w:val="2"/>
          <w:sz w:val="32"/>
          <w:szCs w:val="32"/>
          <w:lang w:eastAsia="zh-CN"/>
        </w:rPr>
        <w:t>经批复</w:t>
      </w:r>
      <w:r>
        <w:rPr>
          <w:rFonts w:hint="eastAsia" w:ascii="仿宋_GB2312" w:hAnsi="仿宋_GB2312" w:eastAsia="仿宋_GB2312" w:cs="仿宋_GB2312"/>
          <w:spacing w:val="-6"/>
          <w:kern w:val="2"/>
          <w:sz w:val="32"/>
          <w:szCs w:val="32"/>
        </w:rPr>
        <w:t>规划条件论证管控要求实施建设。在控制性详细规划中属</w:t>
      </w:r>
      <w:r>
        <w:rPr>
          <w:rFonts w:hint="eastAsia" w:ascii="仿宋_GB2312" w:hAnsi="仿宋_GB2312" w:eastAsia="仿宋_GB2312" w:cs="仿宋_GB2312"/>
          <w:spacing w:val="-6"/>
          <w:sz w:val="32"/>
          <w:szCs w:val="32"/>
        </w:rPr>
        <w:t>道路等公益性</w:t>
      </w:r>
      <w:r>
        <w:rPr>
          <w:rFonts w:hint="eastAsia" w:ascii="仿宋_GB2312" w:hAnsi="仿宋_GB2312" w:eastAsia="仿宋_GB2312" w:cs="仿宋_GB2312"/>
          <w:spacing w:val="-6"/>
          <w:kern w:val="2"/>
          <w:sz w:val="32"/>
          <w:szCs w:val="32"/>
        </w:rPr>
        <w:t>用地部分，日后</w:t>
      </w:r>
      <w:r>
        <w:rPr>
          <w:rFonts w:hint="eastAsia" w:ascii="仿宋_GB2312" w:hAnsi="仿宋_GB2312" w:eastAsia="仿宋_GB2312" w:cs="仿宋_GB2312"/>
          <w:spacing w:val="-6"/>
          <w:kern w:val="2"/>
          <w:sz w:val="32"/>
          <w:szCs w:val="32"/>
          <w:lang w:val="en-US" w:eastAsia="zh-CN"/>
        </w:rPr>
        <w:t>黄圃</w:t>
      </w:r>
      <w:r>
        <w:rPr>
          <w:rFonts w:hint="eastAsia" w:ascii="仿宋_GB2312" w:hAnsi="仿宋_GB2312" w:eastAsia="仿宋_GB2312" w:cs="仿宋_GB2312"/>
          <w:spacing w:val="-6"/>
          <w:kern w:val="2"/>
          <w:sz w:val="32"/>
          <w:szCs w:val="32"/>
        </w:rPr>
        <w:t>镇人民政府需按规划开发建设时，应无偿将用地交给</w:t>
      </w:r>
      <w:r>
        <w:rPr>
          <w:rFonts w:hint="eastAsia" w:ascii="仿宋_GB2312" w:hAnsi="仿宋_GB2312" w:eastAsia="仿宋_GB2312" w:cs="仿宋_GB2312"/>
          <w:spacing w:val="-6"/>
          <w:kern w:val="2"/>
          <w:sz w:val="32"/>
          <w:szCs w:val="32"/>
          <w:lang w:val="en-US" w:eastAsia="zh-CN"/>
        </w:rPr>
        <w:t>黄圃</w:t>
      </w:r>
      <w:r>
        <w:rPr>
          <w:rFonts w:hint="eastAsia" w:ascii="仿宋_GB2312" w:hAnsi="仿宋_GB2312" w:eastAsia="仿宋_GB2312" w:cs="仿宋_GB2312"/>
          <w:spacing w:val="-6"/>
          <w:kern w:val="2"/>
          <w:sz w:val="32"/>
          <w:szCs w:val="32"/>
        </w:rPr>
        <w:t>镇人民政府使用。</w:t>
      </w:r>
    </w:p>
    <w:p>
      <w:pPr>
        <w:keepNext w:val="0"/>
        <w:keepLines w:val="0"/>
        <w:pageBreakBefore w:val="0"/>
        <w:widowControl w:val="0"/>
        <w:kinsoku/>
        <w:wordWrap/>
        <w:overflowPunct/>
        <w:topLinePunct w:val="0"/>
        <w:autoSpaceDE w:val="0"/>
        <w:autoSpaceDN/>
        <w:bidi w:val="0"/>
        <w:adjustRightInd/>
        <w:snapToGrid/>
        <w:spacing w:line="574" w:lineRule="exact"/>
        <w:ind w:firstLine="640" w:firstLineChars="200"/>
        <w:textAlignment w:val="auto"/>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kern w:val="0"/>
          <w:sz w:val="32"/>
          <w:szCs w:val="32"/>
        </w:rPr>
        <w:t>该改造项目属于</w:t>
      </w:r>
      <w:r>
        <w:rPr>
          <w:rFonts w:hint="eastAsia" w:ascii="仿宋_GB2312" w:hAnsi="仿宋_GB2312" w:eastAsia="仿宋_GB2312" w:cs="仿宋_GB2312"/>
          <w:color w:val="auto"/>
          <w:kern w:val="0"/>
          <w:sz w:val="32"/>
          <w:szCs w:val="32"/>
        </w:rPr>
        <w:t>工改工</w:t>
      </w:r>
      <w:r>
        <w:rPr>
          <w:rFonts w:hint="eastAsia" w:ascii="仿宋_GB2312" w:hAnsi="仿宋_GB2312" w:eastAsia="仿宋_GB2312" w:cs="仿宋_GB2312"/>
          <w:kern w:val="0"/>
          <w:sz w:val="32"/>
          <w:szCs w:val="32"/>
        </w:rPr>
        <w:t>宗地项目，</w:t>
      </w:r>
      <w:r>
        <w:rPr>
          <w:rFonts w:hint="eastAsia" w:ascii="仿宋_GB2312" w:hAnsi="仿宋_GB2312" w:eastAsia="仿宋_GB2312" w:cs="仿宋_GB2312"/>
          <w:spacing w:val="-6"/>
          <w:kern w:val="2"/>
          <w:sz w:val="32"/>
          <w:szCs w:val="32"/>
        </w:rPr>
        <w:t>改造项目拟采取权利人自主改造方式，由</w:t>
      </w:r>
      <w:r>
        <w:rPr>
          <w:rFonts w:hint="eastAsia" w:ascii="仿宋_GB2312" w:hAnsi="仿宋_GB2312" w:eastAsia="仿宋_GB2312" w:cs="仿宋_GB2312"/>
          <w:spacing w:val="-6"/>
          <w:kern w:val="2"/>
          <w:sz w:val="32"/>
          <w:szCs w:val="32"/>
          <w:lang w:val="en-US" w:eastAsia="zh-CN"/>
        </w:rPr>
        <w:t>廖景云</w:t>
      </w:r>
      <w:r>
        <w:rPr>
          <w:rFonts w:hint="eastAsia" w:ascii="仿宋_GB2312" w:hAnsi="仿宋_GB2312" w:eastAsia="仿宋_GB2312" w:cs="仿宋_GB2312"/>
          <w:spacing w:val="-6"/>
          <w:kern w:val="2"/>
          <w:sz w:val="32"/>
          <w:szCs w:val="32"/>
        </w:rPr>
        <w:t>作为改造主体，实施全面改造。改造后将引入五金塑料、家用电器、包装制品等产业，在符合经批</w:t>
      </w:r>
      <w:r>
        <w:rPr>
          <w:rFonts w:hint="eastAsia" w:ascii="仿宋_GB2312" w:hAnsi="仿宋_GB2312" w:eastAsia="仿宋_GB2312" w:cs="仿宋_GB2312"/>
          <w:spacing w:val="-6"/>
          <w:kern w:val="2"/>
          <w:sz w:val="32"/>
          <w:szCs w:val="32"/>
          <w:lang w:eastAsia="zh-CN"/>
        </w:rPr>
        <w:t>复</w:t>
      </w:r>
      <w:r>
        <w:rPr>
          <w:rFonts w:hint="eastAsia" w:ascii="仿宋_GB2312" w:hAnsi="仿宋_GB2312" w:eastAsia="仿宋_GB2312" w:cs="仿宋_GB2312"/>
          <w:spacing w:val="-6"/>
          <w:kern w:val="2"/>
          <w:sz w:val="32"/>
          <w:szCs w:val="32"/>
        </w:rPr>
        <w:t>规划条件论证的基础上，容积率不小于3.</w:t>
      </w:r>
      <w:r>
        <w:rPr>
          <w:rFonts w:hint="eastAsia" w:ascii="仿宋_GB2312" w:hAnsi="仿宋_GB2312" w:eastAsia="仿宋_GB2312" w:cs="仿宋_GB2312"/>
          <w:spacing w:val="-6"/>
          <w:kern w:val="2"/>
          <w:sz w:val="32"/>
          <w:szCs w:val="32"/>
          <w:lang w:val="en-US" w:eastAsia="zh-CN"/>
        </w:rPr>
        <w:t>0</w:t>
      </w:r>
      <w:r>
        <w:rPr>
          <w:rFonts w:hint="eastAsia" w:ascii="仿宋_GB2312" w:hAnsi="仿宋_GB2312" w:eastAsia="仿宋_GB2312" w:cs="仿宋_GB2312"/>
          <w:spacing w:val="-6"/>
          <w:kern w:val="2"/>
          <w:sz w:val="32"/>
          <w:szCs w:val="32"/>
        </w:rPr>
        <w:t>，新建建筑面积</w:t>
      </w:r>
      <w:r>
        <w:rPr>
          <w:rFonts w:hint="eastAsia" w:ascii="仿宋_GB2312" w:hAnsi="仿宋_GB2312" w:eastAsia="仿宋_GB2312" w:cs="仿宋_GB2312"/>
          <w:spacing w:val="-6"/>
          <w:kern w:val="2"/>
          <w:sz w:val="32"/>
          <w:szCs w:val="32"/>
          <w:lang w:val="en-US" w:eastAsia="zh-CN"/>
        </w:rPr>
        <w:t>约39000</w:t>
      </w:r>
      <w:r>
        <w:rPr>
          <w:rFonts w:hint="eastAsia" w:ascii="仿宋_GB2312" w:hAnsi="仿宋_GB2312" w:eastAsia="仿宋_GB2312" w:cs="仿宋_GB2312"/>
          <w:spacing w:val="-6"/>
          <w:kern w:val="2"/>
          <w:sz w:val="32"/>
          <w:szCs w:val="32"/>
        </w:rPr>
        <w:t>平方米（含不计容建筑面积 4</w:t>
      </w:r>
      <w:r>
        <w:rPr>
          <w:rFonts w:hint="eastAsia" w:ascii="仿宋_GB2312" w:hAnsi="仿宋_GB2312" w:eastAsia="仿宋_GB2312" w:cs="仿宋_GB2312"/>
          <w:spacing w:val="-6"/>
          <w:kern w:val="2"/>
          <w:sz w:val="32"/>
          <w:szCs w:val="32"/>
          <w:lang w:val="en-US" w:eastAsia="zh-CN"/>
        </w:rPr>
        <w:t>2</w:t>
      </w:r>
      <w:r>
        <w:rPr>
          <w:rFonts w:hint="eastAsia" w:ascii="仿宋_GB2312" w:hAnsi="仿宋_GB2312" w:eastAsia="仿宋_GB2312" w:cs="仿宋_GB2312"/>
          <w:spacing w:val="-6"/>
          <w:kern w:val="2"/>
          <w:sz w:val="32"/>
          <w:szCs w:val="32"/>
        </w:rPr>
        <w:t>00平方米），不保留原有建筑。</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ascii="仿宋_GB2312" w:hAnsi="仿宋_GB2312"/>
          <w:color w:val="auto"/>
          <w:spacing w:val="-6"/>
          <w:kern w:val="0"/>
          <w:sz w:val="32"/>
          <w:szCs w:val="32"/>
          <w:highlight w:val="none"/>
        </w:rPr>
      </w:pPr>
      <w:r>
        <w:rPr>
          <w:rFonts w:hint="eastAsia" w:ascii="仿宋_GB2312" w:hAnsi="仿宋_GB2312" w:eastAsia="仿宋_GB2312" w:cs="仿宋_GB2312"/>
          <w:spacing w:val="-6"/>
          <w:kern w:val="2"/>
          <w:sz w:val="32"/>
          <w:szCs w:val="32"/>
        </w:rPr>
        <w:t>项目相关情况符合国家《产业结构调整指导目录》、《中山市差别化环保准入促进区域发展实施细则》、《中山市涉挥发性有机物项目环保准入管理规定》。</w:t>
      </w:r>
      <w:r>
        <w:rPr>
          <w:rFonts w:hint="eastAsia" w:ascii="仿宋_GB2312" w:hAnsi="仿宋_GB2312" w:eastAsia="仿宋_GB2312" w:cs="仿宋_GB2312"/>
          <w:color w:val="auto"/>
          <w:spacing w:val="-6"/>
          <w:kern w:val="2"/>
          <w:sz w:val="32"/>
          <w:szCs w:val="32"/>
          <w:highlight w:val="none"/>
        </w:rPr>
        <w:t>改造后年产值将达到</w:t>
      </w:r>
      <w:r>
        <w:rPr>
          <w:rFonts w:hint="eastAsia" w:ascii="仿宋_GB2312" w:hAnsi="仿宋_GB2312" w:eastAsia="仿宋_GB2312" w:cs="仿宋_GB2312"/>
          <w:color w:val="auto"/>
          <w:spacing w:val="-6"/>
          <w:kern w:val="2"/>
          <w:sz w:val="32"/>
          <w:szCs w:val="32"/>
          <w:highlight w:val="none"/>
          <w:lang w:val="en-US" w:eastAsia="zh-CN"/>
        </w:rPr>
        <w:t>10067</w:t>
      </w:r>
      <w:r>
        <w:rPr>
          <w:rFonts w:hint="eastAsia" w:ascii="仿宋_GB2312" w:hAnsi="仿宋_GB2312" w:eastAsia="仿宋_GB2312" w:cs="仿宋_GB2312"/>
          <w:color w:val="auto"/>
          <w:spacing w:val="-6"/>
          <w:kern w:val="2"/>
          <w:sz w:val="32"/>
          <w:szCs w:val="32"/>
          <w:highlight w:val="none"/>
        </w:rPr>
        <w:t>万元（</w:t>
      </w:r>
      <w:r>
        <w:rPr>
          <w:rFonts w:hint="eastAsia" w:ascii="仿宋_GB2312" w:hAnsi="仿宋_GB2312" w:eastAsia="仿宋_GB2312" w:cs="仿宋_GB2312"/>
          <w:color w:val="auto"/>
          <w:spacing w:val="-6"/>
          <w:kern w:val="0"/>
          <w:sz w:val="32"/>
          <w:szCs w:val="32"/>
          <w:lang w:val="en-US" w:eastAsia="zh-CN"/>
        </w:rPr>
        <w:t>亩均产值</w:t>
      </w:r>
      <w:r>
        <w:rPr>
          <w:rFonts w:hint="eastAsia" w:ascii="仿宋_GB2312" w:hAnsi="仿宋_GB2312" w:eastAsia="仿宋_GB2312" w:cs="仿宋_GB2312"/>
          <w:color w:val="auto"/>
          <w:spacing w:val="-6"/>
          <w:kern w:val="2"/>
          <w:sz w:val="32"/>
          <w:szCs w:val="32"/>
          <w:highlight w:val="none"/>
          <w:lang w:val="en-US" w:eastAsia="zh-CN"/>
        </w:rPr>
        <w:t>约600</w:t>
      </w:r>
      <w:r>
        <w:rPr>
          <w:rFonts w:hint="eastAsia" w:ascii="仿宋_GB2312" w:hAnsi="仿宋_GB2312" w:eastAsia="仿宋_GB2312" w:cs="仿宋_GB2312"/>
          <w:color w:val="auto"/>
          <w:spacing w:val="-6"/>
          <w:kern w:val="2"/>
          <w:sz w:val="32"/>
          <w:szCs w:val="32"/>
          <w:highlight w:val="none"/>
        </w:rPr>
        <w:t>万元/亩），年税收将达到</w:t>
      </w:r>
      <w:r>
        <w:rPr>
          <w:rFonts w:hint="eastAsia" w:ascii="仿宋_GB2312" w:hAnsi="仿宋_GB2312" w:eastAsia="仿宋_GB2312" w:cs="仿宋_GB2312"/>
          <w:color w:val="auto"/>
          <w:spacing w:val="-6"/>
          <w:kern w:val="2"/>
          <w:sz w:val="32"/>
          <w:szCs w:val="32"/>
          <w:highlight w:val="none"/>
          <w:lang w:val="en-US" w:eastAsia="zh-CN"/>
        </w:rPr>
        <w:t>503.36</w:t>
      </w:r>
      <w:r>
        <w:rPr>
          <w:rFonts w:hint="eastAsia" w:ascii="仿宋_GB2312" w:hAnsi="仿宋_GB2312" w:eastAsia="仿宋_GB2312" w:cs="仿宋_GB2312"/>
          <w:color w:val="auto"/>
          <w:spacing w:val="-6"/>
          <w:kern w:val="2"/>
          <w:sz w:val="32"/>
          <w:szCs w:val="32"/>
          <w:highlight w:val="none"/>
        </w:rPr>
        <w:t>万元（</w:t>
      </w:r>
      <w:r>
        <w:rPr>
          <w:rFonts w:hint="eastAsia" w:ascii="仿宋_GB2312" w:hAnsi="仿宋_GB2312" w:eastAsia="仿宋_GB2312" w:cs="仿宋_GB2312"/>
          <w:color w:val="auto"/>
          <w:spacing w:val="-6"/>
          <w:kern w:val="0"/>
          <w:sz w:val="32"/>
          <w:szCs w:val="32"/>
          <w:lang w:val="en-US" w:eastAsia="zh-CN"/>
        </w:rPr>
        <w:t>亩均税收</w:t>
      </w:r>
      <w:r>
        <w:rPr>
          <w:rFonts w:hint="eastAsia" w:ascii="仿宋_GB2312" w:hAnsi="仿宋_GB2312" w:eastAsia="仿宋_GB2312" w:cs="仿宋_GB2312"/>
          <w:color w:val="auto"/>
          <w:spacing w:val="-6"/>
          <w:kern w:val="2"/>
          <w:sz w:val="32"/>
          <w:szCs w:val="32"/>
          <w:highlight w:val="none"/>
          <w:lang w:val="en-US" w:eastAsia="zh-CN"/>
        </w:rPr>
        <w:t>约30</w:t>
      </w:r>
      <w:r>
        <w:rPr>
          <w:rFonts w:hint="eastAsia" w:ascii="仿宋_GB2312" w:hAnsi="仿宋_GB2312" w:eastAsia="仿宋_GB2312" w:cs="仿宋_GB2312"/>
          <w:color w:val="auto"/>
          <w:spacing w:val="-6"/>
          <w:kern w:val="2"/>
          <w:sz w:val="32"/>
          <w:szCs w:val="32"/>
          <w:highlight w:val="none"/>
        </w:rPr>
        <w:t>万元/亩）。</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ascii="黑体" w:hAnsi="黑体" w:eastAsia="黑体"/>
          <w:color w:val="auto"/>
          <w:spacing w:val="-6"/>
          <w:kern w:val="0"/>
          <w:sz w:val="32"/>
          <w:szCs w:val="32"/>
          <w:highlight w:val="none"/>
        </w:rPr>
      </w:pPr>
      <w:r>
        <w:rPr>
          <w:rFonts w:hint="eastAsia" w:ascii="黑体" w:hAnsi="黑体" w:eastAsia="黑体"/>
          <w:color w:val="auto"/>
          <w:spacing w:val="-6"/>
          <w:kern w:val="0"/>
          <w:sz w:val="32"/>
          <w:szCs w:val="32"/>
          <w:highlight w:val="none"/>
        </w:rPr>
        <w:t>四、资金筹措</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kern w:val="2"/>
          <w:sz w:val="32"/>
          <w:szCs w:val="32"/>
          <w:highlight w:val="none"/>
        </w:rPr>
      </w:pPr>
      <w:r>
        <w:rPr>
          <w:rFonts w:hint="eastAsia" w:ascii="仿宋_GB2312" w:hAnsi="仿宋_GB2312" w:eastAsia="仿宋_GB2312" w:cs="仿宋_GB2312"/>
          <w:color w:val="auto"/>
          <w:spacing w:val="-6"/>
          <w:kern w:val="2"/>
          <w:sz w:val="32"/>
          <w:szCs w:val="32"/>
          <w:highlight w:val="none"/>
        </w:rPr>
        <w:t>改造主体拟投入资金1</w:t>
      </w:r>
      <w:r>
        <w:rPr>
          <w:rFonts w:hint="eastAsia" w:ascii="仿宋_GB2312" w:hAnsi="仿宋_GB2312" w:eastAsia="仿宋_GB2312" w:cs="仿宋_GB2312"/>
          <w:color w:val="auto"/>
          <w:spacing w:val="-6"/>
          <w:kern w:val="2"/>
          <w:sz w:val="32"/>
          <w:szCs w:val="32"/>
          <w:highlight w:val="none"/>
          <w:lang w:val="en-US" w:eastAsia="zh-CN"/>
        </w:rPr>
        <w:t>亿</w:t>
      </w:r>
      <w:r>
        <w:rPr>
          <w:rFonts w:hint="eastAsia" w:ascii="仿宋_GB2312" w:hAnsi="仿宋_GB2312" w:eastAsia="仿宋_GB2312" w:cs="仿宋_GB2312"/>
          <w:color w:val="auto"/>
          <w:spacing w:val="-6"/>
          <w:kern w:val="2"/>
          <w:sz w:val="32"/>
          <w:szCs w:val="32"/>
          <w:highlight w:val="none"/>
        </w:rPr>
        <w:t>元，其中自有资金5000万元，银行借贷5000万元。</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ascii="黑体" w:hAnsi="黑体" w:eastAsia="黑体"/>
          <w:spacing w:val="-6"/>
          <w:kern w:val="0"/>
          <w:sz w:val="32"/>
          <w:szCs w:val="32"/>
        </w:rPr>
      </w:pPr>
      <w:r>
        <w:rPr>
          <w:rFonts w:hint="eastAsia" w:ascii="黑体" w:hAnsi="黑体" w:eastAsia="黑体"/>
          <w:spacing w:val="-6"/>
          <w:kern w:val="0"/>
          <w:sz w:val="32"/>
          <w:szCs w:val="32"/>
        </w:rPr>
        <w:t>五、开发时序</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项目开发周期为2年，</w:t>
      </w:r>
      <w:r>
        <w:rPr>
          <w:rFonts w:hint="eastAsia" w:ascii="仿宋_GB2312" w:hAnsi="仿宋_GB2312" w:eastAsia="仿宋_GB2312" w:cs="仿宋_GB2312"/>
          <w:spacing w:val="-6"/>
          <w:sz w:val="32"/>
          <w:szCs w:val="32"/>
        </w:rPr>
        <w:t>不分期开发。</w:t>
      </w:r>
      <w:r>
        <w:rPr>
          <w:rFonts w:hint="eastAsia" w:ascii="仿宋_GB2312" w:hAnsi="仿宋_GB2312" w:eastAsia="仿宋_GB2312" w:cs="仿宋_GB2312"/>
          <w:spacing w:val="-6"/>
          <w:kern w:val="2"/>
          <w:sz w:val="32"/>
          <w:szCs w:val="32"/>
        </w:rPr>
        <w:t>开发时间为2023年</w:t>
      </w:r>
      <w:r>
        <w:rPr>
          <w:rFonts w:hint="eastAsia" w:ascii="仿宋_GB2312" w:hAnsi="仿宋_GB2312" w:eastAsia="仿宋_GB2312" w:cs="仿宋_GB2312"/>
          <w:spacing w:val="-6"/>
          <w:kern w:val="2"/>
          <w:sz w:val="32"/>
          <w:szCs w:val="32"/>
          <w:lang w:val="en-US" w:eastAsia="zh-CN"/>
        </w:rPr>
        <w:t>8</w:t>
      </w:r>
      <w:r>
        <w:rPr>
          <w:rFonts w:hint="eastAsia" w:ascii="仿宋_GB2312" w:hAnsi="仿宋_GB2312" w:eastAsia="仿宋_GB2312" w:cs="仿宋_GB2312"/>
          <w:spacing w:val="-6"/>
          <w:kern w:val="2"/>
          <w:sz w:val="32"/>
          <w:szCs w:val="32"/>
        </w:rPr>
        <w:t>月，</w:t>
      </w:r>
      <w:r>
        <w:rPr>
          <w:rFonts w:hint="eastAsia" w:ascii="仿宋_GB2312" w:hAnsi="仿宋_GB2312" w:eastAsia="仿宋_GB2312" w:cs="仿宋_GB2312"/>
          <w:color w:val="auto"/>
          <w:spacing w:val="-6"/>
          <w:sz w:val="32"/>
          <w:szCs w:val="32"/>
          <w:lang w:val="en-US" w:eastAsia="zh-CN"/>
        </w:rPr>
        <w:t>2025</w:t>
      </w:r>
      <w:r>
        <w:rPr>
          <w:rFonts w:hint="eastAsia" w:ascii="仿宋_GB2312" w:hAnsi="仿宋_GB2312" w:eastAsia="仿宋_GB2312" w:cs="仿宋_GB2312"/>
          <w:color w:val="auto"/>
          <w:spacing w:val="-6"/>
          <w:sz w:val="32"/>
          <w:szCs w:val="32"/>
        </w:rPr>
        <w:t>年</w:t>
      </w:r>
      <w:r>
        <w:rPr>
          <w:rFonts w:hint="eastAsia" w:ascii="仿宋_GB2312" w:hAnsi="仿宋_GB2312" w:eastAsia="仿宋_GB2312" w:cs="仿宋_GB2312"/>
          <w:color w:val="auto"/>
          <w:spacing w:val="-6"/>
          <w:sz w:val="32"/>
          <w:szCs w:val="32"/>
          <w:lang w:val="en-US" w:eastAsia="zh-CN"/>
        </w:rPr>
        <w:t>7</w:t>
      </w:r>
      <w:r>
        <w:rPr>
          <w:rFonts w:hint="eastAsia" w:ascii="仿宋_GB2312" w:hAnsi="仿宋_GB2312" w:eastAsia="仿宋_GB2312" w:cs="仿宋_GB2312"/>
          <w:color w:val="auto"/>
          <w:spacing w:val="-6"/>
          <w:sz w:val="32"/>
          <w:szCs w:val="32"/>
        </w:rPr>
        <w:t>月</w:t>
      </w:r>
      <w:r>
        <w:rPr>
          <w:rFonts w:hint="eastAsia" w:ascii="仿宋_GB2312" w:hAnsi="仿宋_GB2312" w:eastAsia="仿宋_GB2312" w:cs="仿宋_GB2312"/>
          <w:color w:val="auto"/>
          <w:spacing w:val="-6"/>
          <w:sz w:val="32"/>
          <w:szCs w:val="32"/>
          <w:lang w:eastAsia="zh-CN"/>
        </w:rPr>
        <w:t>3</w:t>
      </w:r>
      <w:r>
        <w:rPr>
          <w:rFonts w:hint="eastAsia" w:ascii="仿宋_GB2312" w:hAnsi="仿宋_GB2312" w:eastAsia="仿宋_GB2312" w:cs="仿宋_GB2312"/>
          <w:color w:val="auto"/>
          <w:spacing w:val="-6"/>
          <w:sz w:val="32"/>
          <w:szCs w:val="32"/>
        </w:rPr>
        <w:t>0日</w:t>
      </w:r>
      <w:r>
        <w:rPr>
          <w:rFonts w:hint="eastAsia" w:ascii="仿宋_GB2312" w:hAnsi="仿宋_GB2312" w:eastAsia="仿宋_GB2312" w:cs="仿宋_GB2312"/>
          <w:color w:val="auto"/>
          <w:spacing w:val="-6"/>
          <w:sz w:val="32"/>
          <w:szCs w:val="32"/>
          <w:lang w:eastAsia="zh-CN"/>
        </w:rPr>
        <w:t>之前竣工。</w:t>
      </w:r>
      <w:r>
        <w:rPr>
          <w:rFonts w:hint="eastAsia" w:ascii="仿宋_GB2312" w:hAnsi="仿宋_GB2312" w:eastAsia="仿宋_GB2312" w:cs="仿宋_GB2312"/>
          <w:spacing w:val="-6"/>
          <w:kern w:val="2"/>
          <w:sz w:val="32"/>
          <w:szCs w:val="32"/>
        </w:rPr>
        <w:t>拟投入资金10000万元，拟建建筑面积</w:t>
      </w:r>
      <w:r>
        <w:rPr>
          <w:rFonts w:hint="eastAsia" w:ascii="仿宋_GB2312" w:hAnsi="仿宋_GB2312" w:eastAsia="仿宋_GB2312" w:cs="仿宋_GB2312"/>
          <w:spacing w:val="-6"/>
          <w:kern w:val="2"/>
          <w:sz w:val="32"/>
          <w:szCs w:val="32"/>
          <w:highlight w:val="none"/>
          <w:lang w:eastAsia="zh-CN"/>
        </w:rPr>
        <w:t>3</w:t>
      </w:r>
      <w:r>
        <w:rPr>
          <w:rFonts w:hint="eastAsia" w:ascii="仿宋_GB2312" w:hAnsi="仿宋_GB2312" w:eastAsia="仿宋_GB2312" w:cs="仿宋_GB2312"/>
          <w:spacing w:val="-6"/>
          <w:kern w:val="2"/>
          <w:sz w:val="32"/>
          <w:szCs w:val="32"/>
          <w:highlight w:val="none"/>
          <w:lang w:val="en-US" w:eastAsia="zh-CN"/>
        </w:rPr>
        <w:t>9000</w:t>
      </w:r>
      <w:r>
        <w:rPr>
          <w:rFonts w:hint="eastAsia" w:ascii="仿宋_GB2312" w:hAnsi="仿宋_GB2312" w:eastAsia="仿宋_GB2312" w:cs="仿宋_GB2312"/>
          <w:spacing w:val="-6"/>
          <w:kern w:val="2"/>
          <w:sz w:val="32"/>
          <w:szCs w:val="32"/>
          <w:highlight w:val="none"/>
        </w:rPr>
        <w:t>平方米（含不计容建筑面积4</w:t>
      </w:r>
      <w:r>
        <w:rPr>
          <w:rFonts w:hint="eastAsia" w:ascii="仿宋_GB2312" w:hAnsi="仿宋_GB2312" w:eastAsia="仿宋_GB2312" w:cs="仿宋_GB2312"/>
          <w:spacing w:val="-6"/>
          <w:kern w:val="2"/>
          <w:sz w:val="32"/>
          <w:szCs w:val="32"/>
          <w:highlight w:val="none"/>
          <w:lang w:eastAsia="zh-CN"/>
        </w:rPr>
        <w:t>2</w:t>
      </w:r>
      <w:r>
        <w:rPr>
          <w:rFonts w:hint="eastAsia" w:ascii="仿宋_GB2312" w:hAnsi="仿宋_GB2312" w:eastAsia="仿宋_GB2312" w:cs="仿宋_GB2312"/>
          <w:spacing w:val="-6"/>
          <w:kern w:val="2"/>
          <w:sz w:val="32"/>
          <w:szCs w:val="32"/>
          <w:highlight w:val="none"/>
        </w:rPr>
        <w:t>00平方米），</w:t>
      </w:r>
      <w:r>
        <w:rPr>
          <w:rFonts w:hint="eastAsia" w:ascii="仿宋_GB2312" w:hAnsi="仿宋_GB2312" w:eastAsia="仿宋_GB2312" w:cs="仿宋_GB2312"/>
          <w:spacing w:val="-6"/>
          <w:kern w:val="2"/>
          <w:sz w:val="32"/>
          <w:szCs w:val="32"/>
        </w:rPr>
        <w:t>主要实施建设工业厂房。</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ascii="黑体" w:hAnsi="黑体" w:eastAsia="黑体"/>
          <w:spacing w:val="-6"/>
          <w:kern w:val="0"/>
          <w:sz w:val="32"/>
          <w:szCs w:val="32"/>
        </w:rPr>
      </w:pPr>
      <w:r>
        <w:rPr>
          <w:rFonts w:hint="eastAsia" w:ascii="黑体" w:hAnsi="黑体" w:eastAsia="黑体"/>
          <w:spacing w:val="-6"/>
          <w:kern w:val="0"/>
          <w:sz w:val="32"/>
          <w:szCs w:val="32"/>
        </w:rPr>
        <w:t>六、实施监管</w:t>
      </w:r>
    </w:p>
    <w:p>
      <w:pPr>
        <w:keepNext w:val="0"/>
        <w:keepLines w:val="0"/>
        <w:pageBreakBefore w:val="0"/>
        <w:widowControl w:val="0"/>
        <w:kinsoku/>
        <w:wordWrap/>
        <w:overflowPunct/>
        <w:topLinePunct w:val="0"/>
        <w:autoSpaceDE w:val="0"/>
        <w:autoSpaceDN/>
        <w:bidi w:val="0"/>
        <w:adjustRightInd/>
        <w:snapToGrid/>
        <w:spacing w:line="574" w:lineRule="exact"/>
        <w:ind w:firstLine="616" w:firstLineChars="200"/>
        <w:textAlignment w:val="auto"/>
        <w:rPr>
          <w:rFonts w:hint="eastAsia" w:ascii="仿宋_GB2312" w:hAnsi="仿宋_GB2312" w:eastAsia="仿宋_GB2312"/>
          <w:spacing w:val="-6"/>
          <w:kern w:val="0"/>
          <w:sz w:val="32"/>
          <w:szCs w:val="32"/>
          <w:lang w:eastAsia="zh-CN"/>
        </w:rPr>
      </w:pPr>
      <w:r>
        <w:rPr>
          <w:rFonts w:hint="eastAsia" w:ascii="仿宋_GB2312" w:hAnsi="仿宋_GB2312" w:eastAsia="仿宋_GB2312" w:cs="仿宋_GB2312"/>
          <w:spacing w:val="-6"/>
          <w:sz w:val="32"/>
          <w:szCs w:val="32"/>
        </w:rPr>
        <w:t>详见黄圃镇政府与改造主体签订的项目实施监管协议</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74" w:lineRule="exact"/>
        <w:textAlignment w:val="auto"/>
        <w:rPr>
          <w:spacing w:val="-6"/>
        </w:rPr>
      </w:pPr>
      <w:r>
        <w:rPr>
          <w:spacing w:val="-6"/>
        </w:rPr>
        <w:t xml:space="preserve"> </w:t>
      </w:r>
    </w:p>
    <w:p>
      <w:pPr>
        <w:keepNext w:val="0"/>
        <w:keepLines w:val="0"/>
        <w:pageBreakBefore w:val="0"/>
        <w:widowControl w:val="0"/>
        <w:kinsoku/>
        <w:wordWrap/>
        <w:overflowPunct/>
        <w:topLinePunct w:val="0"/>
        <w:autoSpaceDN/>
        <w:bidi w:val="0"/>
        <w:adjustRightInd/>
        <w:snapToGrid/>
        <w:spacing w:line="574"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874DD"/>
    <w:rsid w:val="1398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qFormat/>
    <w:uiPriority w:val="0"/>
    <w:pPr>
      <w:tabs>
        <w:tab w:val="left" w:pos="8280"/>
      </w:tabs>
      <w:ind w:firstLine="210" w:firstLineChars="100"/>
    </w:pPr>
  </w:style>
  <w:style w:type="paragraph" w:styleId="5">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中山市自然资源局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2023-06-09T09:12:00Z</dcterms:created>
  <dc:creator>秦燕</dc:creator>
  <cp:lastModifiedBy>秦燕</cp:lastModifiedBy>
  <dcterms:modified xsi:type="dcterms:W3CDTF">2023-06-09T09:12:54Z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2A1F197E17D84B578ABE885F175A2392</vt:lpwstr>
  </property>
</Properties>
</file>