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52"/>
          <w:szCs w:val="52"/>
        </w:rPr>
      </w:pPr>
    </w:p>
    <w:p>
      <w:pPr>
        <w:spacing w:line="360" w:lineRule="auto"/>
        <w:jc w:val="center"/>
        <w:rPr>
          <w:rFonts w:hint="eastAsia" w:ascii="宋体" w:hAnsi="宋体" w:cs="宋体" w:eastAsiaTheme="minorEastAsia"/>
          <w:b/>
          <w:sz w:val="52"/>
          <w:szCs w:val="52"/>
          <w:lang w:eastAsia="zh-CN"/>
        </w:rPr>
      </w:pPr>
      <w:r>
        <w:rPr>
          <w:rFonts w:hint="eastAsia" w:ascii="宋体" w:hAnsi="宋体" w:cs="宋体"/>
          <w:b/>
          <w:sz w:val="52"/>
          <w:szCs w:val="52"/>
          <w:lang w:eastAsia="zh-CN"/>
        </w:rPr>
        <w:t>祥益东路12号厂区-厂房二工程</w:t>
      </w: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rPr>
          <w:rFonts w:ascii="宋体" w:hAnsi="宋体" w:cs="宋体"/>
          <w:b/>
          <w:sz w:val="52"/>
          <w:szCs w:val="52"/>
        </w:rPr>
      </w:pPr>
    </w:p>
    <w:p>
      <w:pPr>
        <w:spacing w:line="360" w:lineRule="auto"/>
        <w:rPr>
          <w:rFonts w:ascii="宋体" w:hAnsi="宋体" w:cs="宋体"/>
          <w:b/>
          <w:sz w:val="52"/>
          <w:szCs w:val="52"/>
        </w:rPr>
      </w:pPr>
    </w:p>
    <w:p>
      <w:pPr>
        <w:spacing w:line="360" w:lineRule="auto"/>
        <w:rPr>
          <w:rFonts w:ascii="宋体" w:hAnsi="宋体" w:cs="宋体"/>
          <w:b/>
          <w:sz w:val="52"/>
          <w:szCs w:val="52"/>
        </w:rPr>
      </w:pPr>
    </w:p>
    <w:p>
      <w:pPr>
        <w:spacing w:line="360" w:lineRule="auto"/>
        <w:jc w:val="center"/>
        <w:rPr>
          <w:rFonts w:ascii="宋体" w:hAnsi="宋体"/>
          <w:b/>
          <w:sz w:val="48"/>
          <w:szCs w:val="48"/>
        </w:rPr>
      </w:pPr>
      <w:r>
        <w:rPr>
          <w:rFonts w:hint="eastAsia" w:ascii="宋体" w:hAnsi="宋体" w:cs="宋体"/>
          <w:b/>
          <w:sz w:val="52"/>
          <w:szCs w:val="52"/>
        </w:rPr>
        <w:t>项目需求书</w:t>
      </w:r>
    </w:p>
    <w:p>
      <w:pPr>
        <w:spacing w:line="360" w:lineRule="auto"/>
        <w:rPr>
          <w:rFonts w:ascii="宋体" w:hAnsi="宋体"/>
          <w:b/>
          <w:sz w:val="48"/>
          <w:szCs w:val="48"/>
        </w:rPr>
      </w:pPr>
    </w:p>
    <w:p>
      <w:pPr>
        <w:spacing w:line="360" w:lineRule="auto"/>
        <w:rPr>
          <w:rFonts w:ascii="宋体" w:hAnsi="宋体"/>
          <w:sz w:val="72"/>
          <w:szCs w:val="72"/>
        </w:rPr>
      </w:pPr>
    </w:p>
    <w:p>
      <w:pPr>
        <w:spacing w:line="360" w:lineRule="auto"/>
        <w:rPr>
          <w:rFonts w:ascii="宋体" w:hAnsi="宋体"/>
          <w:sz w:val="72"/>
          <w:szCs w:val="72"/>
        </w:rPr>
      </w:pPr>
    </w:p>
    <w:p>
      <w:pPr>
        <w:spacing w:line="360" w:lineRule="auto"/>
        <w:rPr>
          <w:rFonts w:ascii="宋体" w:hAnsi="宋体"/>
          <w:szCs w:val="21"/>
        </w:rPr>
      </w:pPr>
    </w:p>
    <w:p>
      <w:pPr>
        <w:spacing w:line="480" w:lineRule="auto"/>
        <w:rPr>
          <w:rFonts w:ascii="宋体" w:hAnsi="宋体"/>
          <w:b/>
          <w:sz w:val="24"/>
        </w:rPr>
      </w:pPr>
      <w:r>
        <w:rPr>
          <w:rFonts w:hint="eastAsia" w:ascii="宋体" w:hAnsi="宋体"/>
          <w:b/>
          <w:sz w:val="24"/>
        </w:rPr>
        <w:t xml:space="preserve">     建设单位（项目需求单位）：</w:t>
      </w:r>
      <w:r>
        <w:rPr>
          <w:rFonts w:hint="eastAsia" w:ascii="宋体" w:hAnsi="宋体"/>
          <w:b/>
          <w:sz w:val="24"/>
          <w:u w:val="single"/>
        </w:rPr>
        <w:t>中山市小榄镇</w:t>
      </w:r>
      <w:r>
        <w:rPr>
          <w:rFonts w:hint="eastAsia" w:ascii="宋体" w:hAnsi="宋体"/>
          <w:b/>
          <w:sz w:val="24"/>
          <w:u w:val="single"/>
          <w:lang w:eastAsia="zh-CN"/>
        </w:rPr>
        <w:t>盛丰</w:t>
      </w:r>
      <w:r>
        <w:rPr>
          <w:rFonts w:hint="eastAsia" w:ascii="宋体" w:hAnsi="宋体"/>
          <w:b/>
          <w:sz w:val="24"/>
          <w:u w:val="single"/>
        </w:rPr>
        <w:t>股份合作经济联合社</w:t>
      </w:r>
      <w:r>
        <w:rPr>
          <w:rFonts w:hint="eastAsia" w:ascii="宋体" w:hAnsi="宋体"/>
          <w:b/>
          <w:sz w:val="24"/>
        </w:rPr>
        <w:t>（盖单位章）</w:t>
      </w:r>
    </w:p>
    <w:p>
      <w:pPr>
        <w:spacing w:line="480" w:lineRule="auto"/>
        <w:ind w:left="0" w:leftChars="0" w:firstLine="0" w:firstLineChars="0"/>
        <w:jc w:val="center"/>
        <w:rPr>
          <w:rFonts w:ascii="宋体" w:hAnsi="宋体"/>
          <w:b/>
          <w:sz w:val="24"/>
        </w:rPr>
      </w:pPr>
      <w:r>
        <w:rPr>
          <w:rFonts w:hint="eastAsia" w:ascii="宋体" w:hAnsi="宋体"/>
          <w:b/>
          <w:sz w:val="24"/>
        </w:rPr>
        <w:t>代理单位：</w:t>
      </w:r>
      <w:r>
        <w:rPr>
          <w:rFonts w:hint="eastAsia" w:ascii="宋体" w:hAnsi="宋体"/>
          <w:b/>
          <w:sz w:val="24"/>
          <w:u w:val="single"/>
        </w:rPr>
        <w:t>广东皓盈工程管理咨询有限公司</w:t>
      </w:r>
      <w:r>
        <w:rPr>
          <w:rFonts w:hint="eastAsia" w:ascii="宋体" w:hAnsi="宋体"/>
          <w:b/>
          <w:sz w:val="24"/>
        </w:rPr>
        <w:t>（盖单位章）</w:t>
      </w:r>
    </w:p>
    <w:p>
      <w:pPr>
        <w:spacing w:line="480" w:lineRule="auto"/>
        <w:ind w:left="0" w:leftChars="0" w:firstLine="0" w:firstLineChars="0"/>
        <w:jc w:val="center"/>
        <w:rPr>
          <w:rFonts w:ascii="宋体" w:hAnsi="宋体"/>
          <w:b/>
          <w:sz w:val="24"/>
        </w:rPr>
      </w:pPr>
      <w:r>
        <w:rPr>
          <w:rFonts w:hint="eastAsia" w:ascii="宋体" w:hAnsi="宋体"/>
          <w:b/>
          <w:sz w:val="24"/>
        </w:rPr>
        <w:t>编制人：</w:t>
      </w:r>
      <w:r>
        <w:rPr>
          <w:rFonts w:hint="eastAsia" w:ascii="宋体" w:hAnsi="宋体"/>
          <w:b/>
          <w:sz w:val="24"/>
          <w:u w:val="single"/>
        </w:rPr>
        <w:t xml:space="preserve">        </w:t>
      </w:r>
      <w:r>
        <w:rPr>
          <w:rFonts w:hint="eastAsia" w:ascii="宋体" w:hAnsi="宋体"/>
          <w:b/>
          <w:sz w:val="24"/>
          <w:u w:val="single"/>
          <w:lang w:eastAsia="zh-CN"/>
        </w:rPr>
        <w:t>何诺怡</w:t>
      </w:r>
      <w:r>
        <w:rPr>
          <w:rFonts w:hint="eastAsia" w:ascii="宋体" w:hAnsi="宋体"/>
          <w:b/>
          <w:sz w:val="24"/>
          <w:u w:val="single"/>
        </w:rPr>
        <w:t xml:space="preserve">        </w:t>
      </w:r>
      <w:r>
        <w:rPr>
          <w:rFonts w:hint="eastAsia" w:ascii="宋体" w:hAnsi="宋体"/>
          <w:b/>
          <w:sz w:val="24"/>
        </w:rPr>
        <w:t>（签名）</w:t>
      </w:r>
    </w:p>
    <w:p>
      <w:pPr>
        <w:spacing w:line="480" w:lineRule="auto"/>
        <w:ind w:left="0" w:leftChars="0" w:firstLine="0" w:firstLineChars="0"/>
        <w:jc w:val="center"/>
        <w:rPr>
          <w:rFonts w:ascii="宋体" w:hAnsi="宋体"/>
          <w:b/>
          <w:sz w:val="24"/>
        </w:rPr>
      </w:pPr>
      <w:r>
        <w:rPr>
          <w:rFonts w:hint="eastAsia" w:ascii="宋体" w:hAnsi="宋体"/>
          <w:b/>
          <w:sz w:val="24"/>
        </w:rPr>
        <w:t>日  期：</w:t>
      </w:r>
      <w:r>
        <w:rPr>
          <w:rFonts w:hint="eastAsia" w:ascii="宋体" w:hAnsi="宋体"/>
          <w:b/>
          <w:sz w:val="24"/>
          <w:u w:val="single"/>
        </w:rPr>
        <w:t>202</w:t>
      </w:r>
      <w:r>
        <w:rPr>
          <w:rFonts w:hint="eastAsia" w:ascii="宋体" w:hAnsi="宋体"/>
          <w:b/>
          <w:sz w:val="24"/>
          <w:u w:val="single"/>
          <w:lang w:val="en-US" w:eastAsia="zh-CN"/>
        </w:rPr>
        <w:t>3</w:t>
      </w:r>
      <w:r>
        <w:rPr>
          <w:rFonts w:hint="eastAsia" w:ascii="宋体" w:hAnsi="宋体"/>
          <w:b/>
          <w:sz w:val="24"/>
        </w:rPr>
        <w:t>年</w:t>
      </w:r>
      <w:r>
        <w:rPr>
          <w:rFonts w:hint="eastAsia" w:ascii="宋体" w:hAnsi="宋体"/>
          <w:b/>
          <w:sz w:val="24"/>
          <w:u w:val="single"/>
          <w:lang w:val="en-US" w:eastAsia="zh-CN"/>
        </w:rPr>
        <w:t>5</w:t>
      </w:r>
      <w:r>
        <w:rPr>
          <w:rFonts w:hint="eastAsia" w:ascii="宋体" w:hAnsi="宋体"/>
          <w:b/>
          <w:sz w:val="24"/>
        </w:rPr>
        <w:t>月</w:t>
      </w:r>
    </w:p>
    <w:p>
      <w:pPr>
        <w:spacing w:line="360" w:lineRule="auto"/>
        <w:jc w:val="center"/>
        <w:rPr>
          <w:rFonts w:ascii="宋体" w:hAnsi="宋体"/>
          <w:b/>
          <w:sz w:val="44"/>
          <w:szCs w:val="44"/>
        </w:rPr>
      </w:pPr>
    </w:p>
    <w:p>
      <w:pPr>
        <w:spacing w:line="360" w:lineRule="auto"/>
        <w:jc w:val="center"/>
        <w:rPr>
          <w:rFonts w:ascii="宋体" w:hAnsi="宋体"/>
          <w:b/>
          <w:sz w:val="44"/>
          <w:szCs w:val="44"/>
        </w:rPr>
        <w:sectPr>
          <w:headerReference r:id="rId3" w:type="default"/>
          <w:footerReference r:id="rId4" w:type="default"/>
          <w:pgSz w:w="11906" w:h="16838"/>
          <w:pgMar w:top="1418" w:right="1134" w:bottom="1418" w:left="1134" w:header="851" w:footer="992" w:gutter="0"/>
          <w:pgNumType w:start="1"/>
          <w:cols w:space="720" w:num="1"/>
          <w:docGrid w:type="lines" w:linePitch="312" w:charSpace="0"/>
        </w:sectPr>
      </w:pPr>
    </w:p>
    <w:p>
      <w:pPr>
        <w:spacing w:line="360" w:lineRule="auto"/>
        <w:jc w:val="center"/>
        <w:rPr>
          <w:rFonts w:ascii="宋体" w:hAnsi="宋体"/>
          <w:b/>
          <w:sz w:val="44"/>
          <w:szCs w:val="44"/>
        </w:rPr>
      </w:pPr>
      <w:r>
        <w:rPr>
          <w:rFonts w:hint="eastAsia" w:ascii="宋体" w:hAnsi="宋体"/>
          <w:b/>
          <w:sz w:val="44"/>
          <w:szCs w:val="44"/>
        </w:rPr>
        <w:t>目    录</w:t>
      </w:r>
    </w:p>
    <w:p>
      <w:pPr>
        <w:pStyle w:val="2"/>
        <w:tabs>
          <w:tab w:val="right" w:leader="dot" w:pos="9628"/>
        </w:tabs>
      </w:pPr>
      <w:r>
        <w:rPr>
          <w:rFonts w:ascii="宋体" w:hAnsi="宋体"/>
          <w:sz w:val="30"/>
          <w:szCs w:val="30"/>
        </w:rPr>
        <w:fldChar w:fldCharType="begin"/>
      </w:r>
      <w:r>
        <w:rPr>
          <w:rFonts w:ascii="宋体" w:hAnsi="宋体"/>
          <w:sz w:val="30"/>
          <w:szCs w:val="30"/>
        </w:rPr>
        <w:instrText xml:space="preserve"> </w:instrText>
      </w:r>
      <w:r>
        <w:rPr>
          <w:rFonts w:hint="eastAsia" w:ascii="宋体" w:hAnsi="宋体"/>
          <w:sz w:val="30"/>
          <w:szCs w:val="30"/>
        </w:rPr>
        <w:instrText xml:space="preserve">TOC \o "1-3" \h \z \u</w:instrText>
      </w:r>
      <w:r>
        <w:rPr>
          <w:rFonts w:ascii="宋体" w:hAnsi="宋体"/>
          <w:sz w:val="30"/>
          <w:szCs w:val="30"/>
        </w:rPr>
        <w:instrText xml:space="preserve"> </w:instrText>
      </w:r>
      <w:r>
        <w:rPr>
          <w:rFonts w:ascii="宋体" w:hAnsi="宋体"/>
          <w:sz w:val="30"/>
          <w:szCs w:val="30"/>
        </w:rPr>
        <w:fldChar w:fldCharType="separate"/>
      </w:r>
      <w:r>
        <w:fldChar w:fldCharType="begin"/>
      </w:r>
      <w:r>
        <w:instrText xml:space="preserve"> HYPERLINK \l "_Toc477771253" </w:instrText>
      </w:r>
      <w:r>
        <w:fldChar w:fldCharType="separate"/>
      </w:r>
      <w:r>
        <w:rPr>
          <w:rStyle w:val="15"/>
          <w:rFonts w:hint="eastAsia"/>
          <w:b/>
          <w:bCs/>
        </w:rPr>
        <w:t>第一卷</w:t>
      </w:r>
      <w:r>
        <w:rPr>
          <w:b/>
          <w:bCs/>
        </w:rPr>
        <w:tab/>
      </w:r>
      <w:r>
        <w:rPr>
          <w:rFonts w:hint="eastAsia"/>
          <w:b/>
          <w:bCs/>
        </w:rPr>
        <w:t>1</w:t>
      </w:r>
      <w:r>
        <w:rPr>
          <w:rFonts w:hint="eastAsia"/>
          <w:b/>
          <w:bCs/>
        </w:rPr>
        <w:fldChar w:fldCharType="end"/>
      </w:r>
    </w:p>
    <w:p>
      <w:pPr>
        <w:pStyle w:val="2"/>
        <w:tabs>
          <w:tab w:val="right" w:leader="dot" w:pos="9628"/>
        </w:tabs>
      </w:pPr>
      <w:r>
        <w:fldChar w:fldCharType="begin"/>
      </w:r>
      <w:r>
        <w:instrText xml:space="preserve"> HYPERLINK \l "_Toc477771254" </w:instrText>
      </w:r>
      <w:r>
        <w:fldChar w:fldCharType="separate"/>
      </w:r>
      <w:r>
        <w:rPr>
          <w:rStyle w:val="15"/>
          <w:rFonts w:hint="eastAsia"/>
        </w:rPr>
        <w:t>第一章</w:t>
      </w:r>
      <w:r>
        <w:rPr>
          <w:rStyle w:val="15"/>
        </w:rPr>
        <w:t xml:space="preserve"> </w:t>
      </w:r>
      <w:r>
        <w:rPr>
          <w:rStyle w:val="15"/>
          <w:rFonts w:hint="eastAsia"/>
        </w:rPr>
        <w:t>信息公告</w:t>
      </w:r>
      <w:r>
        <w:tab/>
      </w:r>
      <w:r>
        <w:rPr>
          <w:rFonts w:hint="eastAsia"/>
        </w:rPr>
        <w:t>2</w:t>
      </w:r>
      <w:r>
        <w:rPr>
          <w:rFonts w:hint="eastAsia"/>
        </w:rPr>
        <w:fldChar w:fldCharType="end"/>
      </w:r>
    </w:p>
    <w:p>
      <w:pPr>
        <w:pStyle w:val="2"/>
        <w:tabs>
          <w:tab w:val="right" w:leader="dot" w:pos="9628"/>
        </w:tabs>
      </w:pPr>
      <w:r>
        <w:fldChar w:fldCharType="begin"/>
      </w:r>
      <w:r>
        <w:instrText xml:space="preserve"> HYPERLINK \l "_Toc477771261" </w:instrText>
      </w:r>
      <w:r>
        <w:fldChar w:fldCharType="separate"/>
      </w:r>
      <w:r>
        <w:rPr>
          <w:rStyle w:val="15"/>
          <w:rFonts w:hint="eastAsia"/>
        </w:rPr>
        <w:t>第二章</w:t>
      </w:r>
      <w:r>
        <w:rPr>
          <w:rStyle w:val="15"/>
        </w:rPr>
        <w:t xml:space="preserve"> </w:t>
      </w:r>
      <w:r>
        <w:rPr>
          <w:rStyle w:val="15"/>
          <w:rFonts w:hint="eastAsia"/>
        </w:rPr>
        <w:t>竞投单位须知</w:t>
      </w:r>
      <w:r>
        <w:tab/>
      </w:r>
      <w:r>
        <w:rPr>
          <w:rFonts w:hint="eastAsia"/>
        </w:rPr>
        <w:t>4</w:t>
      </w:r>
      <w:r>
        <w:rPr>
          <w:rFonts w:hint="eastAsia"/>
        </w:rPr>
        <w:fldChar w:fldCharType="end"/>
      </w:r>
    </w:p>
    <w:p>
      <w:pPr>
        <w:pStyle w:val="2"/>
        <w:tabs>
          <w:tab w:val="right" w:leader="dot" w:pos="9628"/>
        </w:tabs>
      </w:pPr>
      <w:r>
        <w:fldChar w:fldCharType="begin"/>
      </w:r>
      <w:r>
        <w:instrText xml:space="preserve"> HYPERLINK \l "_Toc477771276" </w:instrText>
      </w:r>
      <w:r>
        <w:fldChar w:fldCharType="separate"/>
      </w:r>
      <w:r>
        <w:rPr>
          <w:rStyle w:val="15"/>
          <w:rFonts w:hint="eastAsia"/>
        </w:rPr>
        <w:t>第三章</w:t>
      </w:r>
      <w:r>
        <w:rPr>
          <w:rStyle w:val="15"/>
        </w:rPr>
        <w:t xml:space="preserve"> </w:t>
      </w:r>
      <w:r>
        <w:rPr>
          <w:rStyle w:val="15"/>
          <w:rFonts w:hint="eastAsia"/>
        </w:rPr>
        <w:t>评审办法（经评审的最低竞投价法）</w:t>
      </w:r>
      <w:r>
        <w:tab/>
      </w:r>
      <w:r>
        <w:rPr>
          <w:rFonts w:hint="eastAsia"/>
        </w:rPr>
        <w:t>2</w:t>
      </w:r>
      <w:r>
        <w:rPr>
          <w:rFonts w:hint="eastAsia"/>
        </w:rPr>
        <w:fldChar w:fldCharType="end"/>
      </w:r>
      <w:r>
        <w:rPr>
          <w:rFonts w:hint="eastAsia"/>
        </w:rPr>
        <w:t>9</w:t>
      </w:r>
    </w:p>
    <w:p>
      <w:pPr>
        <w:pStyle w:val="2"/>
        <w:tabs>
          <w:tab w:val="right" w:leader="dot" w:pos="9628"/>
        </w:tabs>
      </w:pPr>
      <w:r>
        <w:fldChar w:fldCharType="begin"/>
      </w:r>
      <w:r>
        <w:instrText xml:space="preserve"> HYPERLINK \l "_Toc477771284" </w:instrText>
      </w:r>
      <w:r>
        <w:fldChar w:fldCharType="separate"/>
      </w:r>
      <w:r>
        <w:rPr>
          <w:rStyle w:val="15"/>
          <w:rFonts w:hint="eastAsia"/>
        </w:rPr>
        <w:t>第四章</w:t>
      </w:r>
      <w:r>
        <w:rPr>
          <w:rStyle w:val="15"/>
        </w:rPr>
        <w:t xml:space="preserve"> </w:t>
      </w:r>
      <w:r>
        <w:rPr>
          <w:rStyle w:val="15"/>
          <w:rFonts w:hint="eastAsia"/>
        </w:rPr>
        <w:t>合同条款及格式</w:t>
      </w:r>
      <w:r>
        <w:tab/>
      </w:r>
      <w:r>
        <w:rPr>
          <w:rFonts w:hint="eastAsia"/>
        </w:rPr>
        <w:t>3</w:t>
      </w:r>
      <w:r>
        <w:rPr>
          <w:rFonts w:hint="eastAsia"/>
        </w:rPr>
        <w:fldChar w:fldCharType="end"/>
      </w:r>
      <w:r>
        <w:rPr>
          <w:rFonts w:hint="eastAsia"/>
        </w:rPr>
        <w:t>6</w:t>
      </w:r>
    </w:p>
    <w:p>
      <w:pPr>
        <w:pStyle w:val="2"/>
        <w:tabs>
          <w:tab w:val="right" w:leader="dot" w:pos="9628"/>
        </w:tabs>
      </w:pPr>
      <w:r>
        <w:fldChar w:fldCharType="begin"/>
      </w:r>
      <w:r>
        <w:instrText xml:space="preserve"> HYPERLINK \l "_Toc477771285" </w:instrText>
      </w:r>
      <w:r>
        <w:fldChar w:fldCharType="separate"/>
      </w:r>
      <w:r>
        <w:rPr>
          <w:rStyle w:val="15"/>
          <w:rFonts w:hint="eastAsia"/>
        </w:rPr>
        <w:t>第五章</w:t>
      </w:r>
      <w:r>
        <w:rPr>
          <w:rStyle w:val="15"/>
        </w:rPr>
        <w:t xml:space="preserve"> </w:t>
      </w:r>
      <w:r>
        <w:rPr>
          <w:rStyle w:val="15"/>
          <w:rFonts w:hint="eastAsia"/>
        </w:rPr>
        <w:t>工程量清单及工程量清单计价</w:t>
      </w:r>
      <w:r>
        <w:tab/>
      </w:r>
      <w:r>
        <w:rPr>
          <w:rFonts w:hint="eastAsia"/>
        </w:rPr>
        <w:t>3</w:t>
      </w:r>
      <w:r>
        <w:rPr>
          <w:rFonts w:hint="eastAsia"/>
        </w:rPr>
        <w:fldChar w:fldCharType="end"/>
      </w:r>
      <w:r>
        <w:rPr>
          <w:rFonts w:hint="eastAsia"/>
        </w:rPr>
        <w:t>7</w:t>
      </w:r>
    </w:p>
    <w:p>
      <w:pPr>
        <w:pStyle w:val="2"/>
        <w:tabs>
          <w:tab w:val="right" w:leader="dot" w:pos="9628"/>
        </w:tabs>
        <w:rPr>
          <w:b/>
          <w:bCs/>
        </w:rPr>
      </w:pPr>
      <w:r>
        <w:fldChar w:fldCharType="begin"/>
      </w:r>
      <w:r>
        <w:instrText xml:space="preserve"> HYPERLINK \l "_Toc477771286" </w:instrText>
      </w:r>
      <w:r>
        <w:fldChar w:fldCharType="separate"/>
      </w:r>
      <w:r>
        <w:rPr>
          <w:rStyle w:val="15"/>
          <w:rFonts w:hint="eastAsia"/>
          <w:b/>
          <w:bCs/>
        </w:rPr>
        <w:t>第二卷</w:t>
      </w:r>
      <w:r>
        <w:rPr>
          <w:b/>
          <w:bCs/>
        </w:rPr>
        <w:tab/>
      </w:r>
      <w:r>
        <w:rPr>
          <w:b/>
          <w:bCs/>
        </w:rPr>
        <w:fldChar w:fldCharType="begin"/>
      </w:r>
      <w:r>
        <w:rPr>
          <w:b/>
          <w:bCs/>
        </w:rPr>
        <w:instrText xml:space="preserve"> PAGEREF _Toc477771286 \h </w:instrText>
      </w:r>
      <w:r>
        <w:rPr>
          <w:b/>
          <w:bCs/>
        </w:rPr>
        <w:fldChar w:fldCharType="separate"/>
      </w:r>
      <w:r>
        <w:rPr>
          <w:b/>
          <w:bCs/>
        </w:rPr>
        <w:t>4</w:t>
      </w:r>
      <w:r>
        <w:rPr>
          <w:rFonts w:hint="eastAsia"/>
          <w:b/>
          <w:bCs/>
          <w:lang w:val="en-US" w:eastAsia="zh-CN"/>
        </w:rPr>
        <w:t>0</w:t>
      </w:r>
      <w:r>
        <w:rPr>
          <w:b/>
          <w:bCs/>
        </w:rPr>
        <w:fldChar w:fldCharType="end"/>
      </w:r>
      <w:r>
        <w:rPr>
          <w:b/>
          <w:bCs/>
        </w:rPr>
        <w:fldChar w:fldCharType="end"/>
      </w:r>
    </w:p>
    <w:p>
      <w:pPr>
        <w:pStyle w:val="2"/>
        <w:tabs>
          <w:tab w:val="right" w:leader="dot" w:pos="9628"/>
        </w:tabs>
      </w:pPr>
      <w:r>
        <w:fldChar w:fldCharType="begin"/>
      </w:r>
      <w:r>
        <w:instrText xml:space="preserve"> HYPERLINK \l "_Toc477771287" </w:instrText>
      </w:r>
      <w:r>
        <w:fldChar w:fldCharType="separate"/>
      </w:r>
      <w:r>
        <w:rPr>
          <w:rStyle w:val="15"/>
          <w:rFonts w:hint="eastAsia"/>
        </w:rPr>
        <w:t>第六章</w:t>
      </w:r>
      <w:r>
        <w:rPr>
          <w:rStyle w:val="15"/>
        </w:rPr>
        <w:t xml:space="preserve"> </w:t>
      </w:r>
      <w:r>
        <w:rPr>
          <w:rStyle w:val="15"/>
          <w:rFonts w:hint="eastAsia"/>
        </w:rPr>
        <w:t>图纸</w:t>
      </w:r>
      <w:r>
        <w:tab/>
      </w:r>
      <w:r>
        <w:fldChar w:fldCharType="begin"/>
      </w:r>
      <w:r>
        <w:instrText xml:space="preserve"> PAGEREF _Toc477771287 \h </w:instrText>
      </w:r>
      <w:r>
        <w:fldChar w:fldCharType="separate"/>
      </w:r>
      <w:r>
        <w:t>4</w:t>
      </w:r>
      <w:r>
        <w:rPr>
          <w:rFonts w:hint="eastAsia"/>
          <w:lang w:val="en-US" w:eastAsia="zh-CN"/>
        </w:rPr>
        <w:t>1</w:t>
      </w:r>
      <w:r>
        <w:fldChar w:fldCharType="end"/>
      </w:r>
      <w:r>
        <w:fldChar w:fldCharType="end"/>
      </w:r>
    </w:p>
    <w:p>
      <w:pPr>
        <w:pStyle w:val="2"/>
        <w:tabs>
          <w:tab w:val="right" w:leader="dot" w:pos="9628"/>
        </w:tabs>
      </w:pPr>
      <w:r>
        <w:fldChar w:fldCharType="begin"/>
      </w:r>
      <w:r>
        <w:instrText xml:space="preserve"> HYPERLINK \l "_Toc477771289" </w:instrText>
      </w:r>
      <w:r>
        <w:fldChar w:fldCharType="separate"/>
      </w:r>
      <w:r>
        <w:rPr>
          <w:rStyle w:val="15"/>
          <w:rFonts w:hint="eastAsia"/>
          <w:b/>
          <w:bCs/>
        </w:rPr>
        <w:t>第三卷</w:t>
      </w:r>
      <w:r>
        <w:rPr>
          <w:b/>
          <w:bCs/>
        </w:rPr>
        <w:tab/>
      </w:r>
      <w:r>
        <w:rPr>
          <w:b/>
          <w:bCs/>
        </w:rPr>
        <w:fldChar w:fldCharType="begin"/>
      </w:r>
      <w:r>
        <w:rPr>
          <w:b/>
          <w:bCs/>
        </w:rPr>
        <w:instrText xml:space="preserve"> PAGEREF _Toc477771289 \h </w:instrText>
      </w:r>
      <w:r>
        <w:rPr>
          <w:b/>
          <w:bCs/>
        </w:rPr>
        <w:fldChar w:fldCharType="separate"/>
      </w:r>
      <w:r>
        <w:rPr>
          <w:b/>
          <w:bCs/>
        </w:rPr>
        <w:t>4</w:t>
      </w:r>
      <w:r>
        <w:rPr>
          <w:rFonts w:hint="eastAsia"/>
          <w:b/>
          <w:bCs/>
          <w:lang w:val="en-US" w:eastAsia="zh-CN"/>
        </w:rPr>
        <w:t>2</w:t>
      </w:r>
      <w:r>
        <w:rPr>
          <w:b/>
          <w:bCs/>
        </w:rPr>
        <w:fldChar w:fldCharType="end"/>
      </w:r>
      <w:r>
        <w:rPr>
          <w:b/>
          <w:bCs/>
        </w:rPr>
        <w:fldChar w:fldCharType="end"/>
      </w:r>
    </w:p>
    <w:p>
      <w:pPr>
        <w:pStyle w:val="2"/>
        <w:tabs>
          <w:tab w:val="right" w:leader="dot" w:pos="9628"/>
        </w:tabs>
      </w:pPr>
      <w:r>
        <w:fldChar w:fldCharType="begin"/>
      </w:r>
      <w:r>
        <w:instrText xml:space="preserve"> HYPERLINK \l "_Toc477771290" </w:instrText>
      </w:r>
      <w:r>
        <w:fldChar w:fldCharType="separate"/>
      </w:r>
      <w:r>
        <w:rPr>
          <w:rStyle w:val="15"/>
          <w:rFonts w:hint="eastAsia"/>
        </w:rPr>
        <w:t>第七章</w:t>
      </w:r>
      <w:r>
        <w:rPr>
          <w:rStyle w:val="15"/>
        </w:rPr>
        <w:t xml:space="preserve"> </w:t>
      </w:r>
      <w:r>
        <w:rPr>
          <w:rStyle w:val="15"/>
          <w:rFonts w:hint="eastAsia"/>
        </w:rPr>
        <w:t>技术标准和要求（不适用于本项目）</w:t>
      </w:r>
      <w:r>
        <w:tab/>
      </w:r>
      <w:r>
        <w:fldChar w:fldCharType="begin"/>
      </w:r>
      <w:r>
        <w:instrText xml:space="preserve"> PAGEREF _Toc477771290 \h </w:instrText>
      </w:r>
      <w:r>
        <w:fldChar w:fldCharType="separate"/>
      </w:r>
      <w:r>
        <w:t>4</w:t>
      </w:r>
      <w:r>
        <w:rPr>
          <w:rFonts w:hint="eastAsia"/>
          <w:lang w:val="en-US" w:eastAsia="zh-CN"/>
        </w:rPr>
        <w:t>3</w:t>
      </w:r>
      <w:r>
        <w:fldChar w:fldCharType="end"/>
      </w:r>
      <w:r>
        <w:fldChar w:fldCharType="end"/>
      </w:r>
    </w:p>
    <w:p>
      <w:pPr>
        <w:pStyle w:val="2"/>
        <w:tabs>
          <w:tab w:val="right" w:leader="dot" w:pos="9628"/>
        </w:tabs>
        <w:rPr>
          <w:b/>
          <w:bCs/>
        </w:rPr>
      </w:pPr>
      <w:r>
        <w:fldChar w:fldCharType="begin"/>
      </w:r>
      <w:r>
        <w:instrText xml:space="preserve"> HYPERLINK \l "_Toc477771291" </w:instrText>
      </w:r>
      <w:r>
        <w:fldChar w:fldCharType="separate"/>
      </w:r>
      <w:r>
        <w:rPr>
          <w:rStyle w:val="15"/>
          <w:rFonts w:hint="eastAsia"/>
          <w:b/>
          <w:bCs/>
        </w:rPr>
        <w:t>第四卷</w:t>
      </w:r>
      <w:r>
        <w:rPr>
          <w:b/>
          <w:bCs/>
        </w:rPr>
        <w:tab/>
      </w:r>
      <w:r>
        <w:rPr>
          <w:b/>
          <w:bCs/>
        </w:rPr>
        <w:fldChar w:fldCharType="begin"/>
      </w:r>
      <w:r>
        <w:rPr>
          <w:b/>
          <w:bCs/>
        </w:rPr>
        <w:instrText xml:space="preserve"> PAGEREF _Toc477771291 \h </w:instrText>
      </w:r>
      <w:r>
        <w:rPr>
          <w:b/>
          <w:bCs/>
        </w:rPr>
        <w:fldChar w:fldCharType="separate"/>
      </w:r>
      <w:r>
        <w:rPr>
          <w:b/>
          <w:bCs/>
        </w:rPr>
        <w:t>4</w:t>
      </w:r>
      <w:r>
        <w:rPr>
          <w:rFonts w:hint="eastAsia"/>
          <w:b/>
          <w:bCs/>
          <w:lang w:val="en-US" w:eastAsia="zh-CN"/>
        </w:rPr>
        <w:t>4</w:t>
      </w:r>
      <w:r>
        <w:rPr>
          <w:b/>
          <w:bCs/>
        </w:rPr>
        <w:fldChar w:fldCharType="end"/>
      </w:r>
      <w:r>
        <w:rPr>
          <w:b/>
          <w:bCs/>
        </w:rPr>
        <w:fldChar w:fldCharType="end"/>
      </w:r>
    </w:p>
    <w:p>
      <w:pPr>
        <w:pStyle w:val="2"/>
        <w:tabs>
          <w:tab w:val="right" w:leader="dot" w:pos="9628"/>
        </w:tabs>
        <w:rPr>
          <w:rFonts w:ascii="宋体" w:hAnsi="宋体"/>
          <w:szCs w:val="21"/>
        </w:rPr>
      </w:pPr>
      <w:r>
        <w:fldChar w:fldCharType="begin"/>
      </w:r>
      <w:r>
        <w:instrText xml:space="preserve"> HYPERLINK \l "_Toc477771292" </w:instrText>
      </w:r>
      <w:r>
        <w:fldChar w:fldCharType="separate"/>
      </w:r>
      <w:r>
        <w:rPr>
          <w:rStyle w:val="15"/>
          <w:rFonts w:hint="eastAsia"/>
        </w:rPr>
        <w:t>第八章</w:t>
      </w:r>
      <w:r>
        <w:rPr>
          <w:rStyle w:val="15"/>
        </w:rPr>
        <w:t xml:space="preserve"> </w:t>
      </w:r>
      <w:r>
        <w:rPr>
          <w:rStyle w:val="15"/>
          <w:rFonts w:hint="eastAsia"/>
        </w:rPr>
        <w:t>竞投文件格式</w:t>
      </w:r>
      <w:r>
        <w:tab/>
      </w:r>
      <w:r>
        <w:fldChar w:fldCharType="begin"/>
      </w:r>
      <w:r>
        <w:instrText xml:space="preserve"> PAGEREF _Toc477771292 \h </w:instrText>
      </w:r>
      <w:r>
        <w:fldChar w:fldCharType="separate"/>
      </w:r>
      <w:r>
        <w:t>4</w:t>
      </w:r>
      <w:r>
        <w:rPr>
          <w:rFonts w:hint="eastAsia"/>
          <w:lang w:val="en-US" w:eastAsia="zh-CN"/>
        </w:rPr>
        <w:t>5</w:t>
      </w:r>
      <w:r>
        <w:fldChar w:fldCharType="end"/>
      </w:r>
      <w:r>
        <w:fldChar w:fldCharType="end"/>
      </w:r>
      <w:r>
        <w:rPr>
          <w:rFonts w:ascii="宋体" w:hAnsi="宋体"/>
          <w:sz w:val="30"/>
          <w:szCs w:val="30"/>
        </w:rPr>
        <w:fldChar w:fldCharType="end"/>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3"/>
        <w:rPr>
          <w:szCs w:val="32"/>
        </w:rPr>
      </w:pPr>
      <w:bookmarkStart w:id="0" w:name="_Toc477771253"/>
      <w:bookmarkStart w:id="1" w:name="_Toc184635051"/>
      <w:bookmarkStart w:id="2" w:name="_Toc381691720"/>
    </w:p>
    <w:p>
      <w:pPr>
        <w:rPr>
          <w:szCs w:val="32"/>
        </w:rPr>
      </w:pPr>
    </w:p>
    <w:p>
      <w:pPr>
        <w:rPr>
          <w:szCs w:val="32"/>
        </w:rPr>
      </w:pPr>
    </w:p>
    <w:p>
      <w:pPr>
        <w:rPr>
          <w:szCs w:val="32"/>
        </w:rPr>
      </w:pPr>
    </w:p>
    <w:p>
      <w:pPr>
        <w:rPr>
          <w:szCs w:val="32"/>
        </w:rPr>
      </w:pPr>
    </w:p>
    <w:p>
      <w:pPr>
        <w:pStyle w:val="3"/>
        <w:jc w:val="center"/>
        <w:rPr>
          <w:szCs w:val="32"/>
        </w:rPr>
        <w:sectPr>
          <w:footerReference r:id="rId5" w:type="default"/>
          <w:pgSz w:w="11906" w:h="16838"/>
          <w:pgMar w:top="1418" w:right="1134" w:bottom="1418" w:left="1134" w:header="851" w:footer="992" w:gutter="0"/>
          <w:pgNumType w:start="1"/>
          <w:cols w:space="720" w:num="1"/>
          <w:docGrid w:type="lines" w:linePitch="312" w:charSpace="0"/>
        </w:sectPr>
      </w:pPr>
    </w:p>
    <w:p>
      <w:pPr>
        <w:pStyle w:val="3"/>
        <w:jc w:val="center"/>
        <w:rPr>
          <w:szCs w:val="32"/>
        </w:rPr>
      </w:pPr>
      <w:r>
        <w:rPr>
          <w:rFonts w:hint="eastAsia"/>
          <w:szCs w:val="32"/>
        </w:rPr>
        <w:t>第一卷</w:t>
      </w:r>
      <w:bookmarkEnd w:id="0"/>
      <w:bookmarkEnd w:id="1"/>
      <w:bookmarkEnd w:id="2"/>
    </w:p>
    <w:p/>
    <w:p>
      <w:pPr>
        <w:sectPr>
          <w:footerReference r:id="rId6" w:type="default"/>
          <w:pgSz w:w="11906" w:h="16838"/>
          <w:pgMar w:top="1418" w:right="1134" w:bottom="1418" w:left="1134" w:header="851" w:footer="992" w:gutter="0"/>
          <w:pgNumType w:start="1"/>
          <w:cols w:space="720" w:num="1"/>
          <w:docGrid w:type="lines" w:linePitch="312" w:charSpace="0"/>
        </w:sectPr>
      </w:pPr>
    </w:p>
    <w:p>
      <w:pPr>
        <w:pStyle w:val="3"/>
        <w:jc w:val="center"/>
        <w:rPr>
          <w:szCs w:val="32"/>
        </w:rPr>
      </w:pPr>
      <w:bookmarkStart w:id="3" w:name="_Toc477771254"/>
      <w:bookmarkStart w:id="4" w:name="_Toc381691729"/>
      <w:r>
        <w:rPr>
          <w:rFonts w:hint="eastAsia"/>
          <w:szCs w:val="32"/>
        </w:rPr>
        <w:t xml:space="preserve">第一章 </w:t>
      </w:r>
      <w:bookmarkEnd w:id="3"/>
      <w:r>
        <w:rPr>
          <w:rFonts w:hint="eastAsia" w:ascii="宋体" w:hAnsi="宋体" w:cs="宋体"/>
          <w:bCs w:val="0"/>
          <w:kern w:val="32"/>
          <w:sz w:val="30"/>
          <w:szCs w:val="30"/>
        </w:rPr>
        <w:t>信息</w:t>
      </w:r>
      <w:r>
        <w:rPr>
          <w:rFonts w:hint="eastAsia" w:ascii="宋体" w:hAnsi="宋体" w:cs="宋体"/>
          <w:bCs w:val="0"/>
          <w:sz w:val="30"/>
          <w:szCs w:val="30"/>
        </w:rPr>
        <w:t>公告</w:t>
      </w:r>
    </w:p>
    <w:p>
      <w:pPr>
        <w:spacing w:line="360" w:lineRule="exact"/>
        <w:jc w:val="center"/>
        <w:rPr>
          <w:rFonts w:hint="eastAsia" w:ascii="宋体" w:hAnsi="宋体" w:eastAsia="宋体"/>
          <w:b/>
          <w:szCs w:val="21"/>
          <w:lang w:eastAsia="zh-CN"/>
        </w:rPr>
      </w:pPr>
      <w:bookmarkStart w:id="5" w:name="_Toc477771261"/>
      <w:r>
        <w:rPr>
          <w:rFonts w:hint="eastAsia" w:ascii="宋体" w:hAnsi="宋体" w:eastAsia="宋体" w:cs="宋体"/>
          <w:b/>
          <w:kern w:val="32"/>
          <w:sz w:val="30"/>
          <w:szCs w:val="30"/>
          <w:lang w:eastAsia="zh-CN"/>
        </w:rPr>
        <w:t>祥益东路12号厂区-厂房二工程</w:t>
      </w:r>
    </w:p>
    <w:p>
      <w:pPr>
        <w:spacing w:line="360" w:lineRule="auto"/>
        <w:ind w:firstLine="420" w:firstLineChars="200"/>
        <w:rPr>
          <w:rFonts w:ascii="宋体" w:hAnsi="宋体" w:cs="宋体"/>
          <w:szCs w:val="21"/>
        </w:rPr>
      </w:pPr>
      <w:r>
        <w:rPr>
          <w:rFonts w:hint="eastAsia" w:ascii="宋体" w:hAnsi="宋体" w:cs="宋体"/>
          <w:szCs w:val="21"/>
        </w:rPr>
        <w:t>本项目</w:t>
      </w:r>
      <w:r>
        <w:rPr>
          <w:rFonts w:hint="eastAsia" w:ascii="宋体" w:hAnsi="宋体"/>
          <w:b/>
          <w:szCs w:val="21"/>
          <w:u w:val="single"/>
          <w:lang w:eastAsia="zh-CN"/>
        </w:rPr>
        <w:t>祥益东路12号厂区-厂房二工程</w:t>
      </w:r>
      <w:r>
        <w:rPr>
          <w:rFonts w:hint="eastAsia" w:ascii="宋体" w:hAnsi="宋体" w:cs="宋体"/>
          <w:szCs w:val="21"/>
        </w:rPr>
        <w:t>，项目业主为</w:t>
      </w:r>
      <w:r>
        <w:rPr>
          <w:rFonts w:hint="eastAsia" w:ascii="宋体" w:hAnsi="宋体"/>
          <w:b/>
          <w:szCs w:val="21"/>
          <w:u w:val="single"/>
        </w:rPr>
        <w:t>中山市小榄镇</w:t>
      </w:r>
      <w:r>
        <w:rPr>
          <w:rFonts w:hint="eastAsia" w:ascii="宋体" w:hAnsi="宋体"/>
          <w:b/>
          <w:szCs w:val="21"/>
          <w:u w:val="single"/>
          <w:lang w:eastAsia="zh-CN"/>
        </w:rPr>
        <w:t>盛丰</w:t>
      </w:r>
      <w:r>
        <w:rPr>
          <w:rFonts w:hint="eastAsia" w:ascii="宋体" w:hAnsi="宋体"/>
          <w:b/>
          <w:szCs w:val="21"/>
          <w:u w:val="single"/>
        </w:rPr>
        <w:t>股份合作经济联合社</w:t>
      </w:r>
      <w:r>
        <w:rPr>
          <w:rFonts w:hint="eastAsia" w:ascii="宋体" w:hAnsi="宋体" w:cs="宋体"/>
          <w:szCs w:val="21"/>
        </w:rPr>
        <w:t xml:space="preserve">，建设资金来自 </w:t>
      </w:r>
      <w:r>
        <w:rPr>
          <w:rFonts w:hint="eastAsia" w:ascii="宋体" w:hAnsi="宋体" w:cs="宋体"/>
          <w:szCs w:val="21"/>
          <w:u w:val="single"/>
        </w:rPr>
        <w:t>集体自筹</w:t>
      </w:r>
      <w:r>
        <w:rPr>
          <w:rFonts w:hint="eastAsia" w:ascii="宋体" w:hAnsi="宋体" w:cs="宋体"/>
          <w:szCs w:val="21"/>
        </w:rPr>
        <w:t xml:space="preserve"> ，项目出资比例为</w:t>
      </w:r>
      <w:r>
        <w:rPr>
          <w:rFonts w:hint="eastAsia" w:ascii="宋体" w:hAnsi="宋体" w:cs="宋体"/>
          <w:szCs w:val="21"/>
          <w:u w:val="single"/>
        </w:rPr>
        <w:t xml:space="preserve"> </w:t>
      </w:r>
      <w:r>
        <w:rPr>
          <w:rFonts w:hint="eastAsia" w:ascii="宋体" w:hAnsi="宋体" w:cs="宋体"/>
          <w:b/>
          <w:bCs/>
          <w:szCs w:val="21"/>
          <w:u w:val="single"/>
        </w:rPr>
        <w:t>100%</w:t>
      </w:r>
      <w:r>
        <w:rPr>
          <w:rFonts w:hint="eastAsia" w:ascii="宋体" w:hAnsi="宋体" w:cs="宋体"/>
          <w:szCs w:val="21"/>
          <w:u w:val="single"/>
        </w:rPr>
        <w:t xml:space="preserve"> </w:t>
      </w:r>
      <w:r>
        <w:rPr>
          <w:rFonts w:hint="eastAsia" w:ascii="宋体" w:hAnsi="宋体" w:cs="宋体"/>
          <w:szCs w:val="21"/>
        </w:rPr>
        <w:t>。项目已具备公开选择承建（服务）单位条件，现对该项目的施工进行</w:t>
      </w:r>
      <w:r>
        <w:rPr>
          <w:rFonts w:hint="eastAsia" w:ascii="宋体" w:hAnsi="宋体" w:cs="宋体"/>
          <w:szCs w:val="21"/>
          <w:u w:val="single"/>
        </w:rPr>
        <w:t xml:space="preserve">  </w:t>
      </w:r>
      <w:r>
        <w:rPr>
          <w:rFonts w:hint="eastAsia" w:ascii="宋体" w:hAnsi="宋体" w:cs="宋体"/>
          <w:color w:val="FF0000"/>
          <w:szCs w:val="21"/>
          <w:u w:val="single"/>
        </w:rPr>
        <w:t>公开</w:t>
      </w:r>
      <w:r>
        <w:rPr>
          <w:rFonts w:hint="eastAsia" w:ascii="宋体" w:hAnsi="宋体" w:cs="宋体"/>
          <w:szCs w:val="21"/>
          <w:u w:val="single"/>
        </w:rPr>
        <w:t xml:space="preserve">  </w:t>
      </w:r>
      <w:r>
        <w:rPr>
          <w:rFonts w:hint="eastAsia" w:ascii="宋体" w:hAnsi="宋体" w:cs="宋体"/>
          <w:szCs w:val="21"/>
        </w:rPr>
        <w:t>竞投。</w:t>
      </w:r>
    </w:p>
    <w:p>
      <w:pPr>
        <w:spacing w:line="360" w:lineRule="auto"/>
        <w:rPr>
          <w:rFonts w:hint="eastAsia" w:ascii="宋体" w:hAnsi="宋体" w:cs="宋体" w:eastAsiaTheme="minorEastAsia"/>
          <w:b/>
          <w:szCs w:val="21"/>
          <w:u w:val="single"/>
          <w:lang w:eastAsia="zh-CN"/>
        </w:rPr>
      </w:pPr>
      <w:r>
        <w:rPr>
          <w:rFonts w:hint="eastAsia" w:ascii="宋体" w:hAnsi="宋体" w:cs="宋体"/>
          <w:b/>
          <w:bCs/>
          <w:szCs w:val="21"/>
        </w:rPr>
        <w:t>一、项目名称：</w:t>
      </w:r>
      <w:r>
        <w:rPr>
          <w:rFonts w:hint="eastAsia" w:ascii="宋体" w:hAnsi="宋体"/>
          <w:b/>
          <w:szCs w:val="21"/>
          <w:lang w:eastAsia="zh-CN"/>
        </w:rPr>
        <w:t>祥益东路12号厂区-厂房二工程</w:t>
      </w:r>
    </w:p>
    <w:p>
      <w:pPr>
        <w:spacing w:line="360" w:lineRule="auto"/>
        <w:rPr>
          <w:rFonts w:ascii="宋体" w:hAnsi="宋体" w:cs="宋体"/>
          <w:szCs w:val="21"/>
        </w:rPr>
      </w:pPr>
      <w:r>
        <w:rPr>
          <w:rFonts w:hint="eastAsia" w:ascii="宋体" w:hAnsi="宋体" w:cs="宋体"/>
          <w:b/>
          <w:bCs/>
          <w:szCs w:val="21"/>
        </w:rPr>
        <w:t>二、建设单位（项目需求单位）：</w:t>
      </w:r>
      <w:r>
        <w:rPr>
          <w:rFonts w:hint="eastAsia" w:ascii="宋体" w:hAnsi="宋体"/>
          <w:b/>
          <w:szCs w:val="21"/>
        </w:rPr>
        <w:t>中山市小榄镇</w:t>
      </w:r>
      <w:r>
        <w:rPr>
          <w:rFonts w:hint="eastAsia" w:ascii="宋体" w:hAnsi="宋体"/>
          <w:b/>
          <w:szCs w:val="21"/>
          <w:lang w:eastAsia="zh-CN"/>
        </w:rPr>
        <w:t>盛丰</w:t>
      </w:r>
      <w:r>
        <w:rPr>
          <w:rFonts w:hint="eastAsia" w:ascii="宋体" w:hAnsi="宋体"/>
          <w:b/>
          <w:szCs w:val="21"/>
        </w:rPr>
        <w:t>股份合作经济联合社</w:t>
      </w:r>
    </w:p>
    <w:p>
      <w:pPr>
        <w:spacing w:line="360" w:lineRule="auto"/>
        <w:ind w:left="422" w:hanging="422" w:hangingChars="200"/>
        <w:rPr>
          <w:rFonts w:ascii="宋体" w:hAnsi="宋体" w:cs="宋体"/>
          <w:szCs w:val="21"/>
        </w:rPr>
      </w:pPr>
      <w:r>
        <w:rPr>
          <w:rFonts w:hint="eastAsia" w:ascii="宋体" w:hAnsi="宋体" w:cs="宋体"/>
          <w:b/>
          <w:bCs/>
          <w:szCs w:val="21"/>
        </w:rPr>
        <w:t>三、项目地址：</w:t>
      </w:r>
      <w:r>
        <w:rPr>
          <w:rFonts w:hint="eastAsia" w:ascii="宋体" w:hAnsi="宋体"/>
          <w:b/>
          <w:szCs w:val="21"/>
        </w:rPr>
        <w:t>中山市小榄镇</w:t>
      </w:r>
      <w:r>
        <w:rPr>
          <w:rFonts w:hint="eastAsia" w:ascii="宋体" w:hAnsi="宋体"/>
          <w:b/>
          <w:szCs w:val="21"/>
          <w:lang w:eastAsia="zh-CN"/>
        </w:rPr>
        <w:t>盛丰</w:t>
      </w:r>
      <w:r>
        <w:rPr>
          <w:rFonts w:hint="eastAsia" w:ascii="宋体" w:hAnsi="宋体"/>
          <w:b/>
          <w:szCs w:val="21"/>
        </w:rPr>
        <w:t>社区</w:t>
      </w:r>
    </w:p>
    <w:p>
      <w:pPr>
        <w:spacing w:line="360" w:lineRule="auto"/>
        <w:rPr>
          <w:rFonts w:ascii="宋体" w:hAnsi="宋体" w:cs="宋体"/>
          <w:b/>
          <w:bCs/>
          <w:szCs w:val="21"/>
        </w:rPr>
      </w:pPr>
      <w:r>
        <w:rPr>
          <w:rFonts w:hint="eastAsia" w:ascii="宋体" w:hAnsi="宋体" w:cs="宋体"/>
          <w:b/>
          <w:bCs/>
          <w:szCs w:val="21"/>
        </w:rPr>
        <w:t>四、工程概况：</w:t>
      </w:r>
    </w:p>
    <w:p>
      <w:pPr>
        <w:spacing w:line="360" w:lineRule="auto"/>
        <w:ind w:firstLine="420" w:firstLineChars="200"/>
        <w:rPr>
          <w:rFonts w:ascii="宋体" w:hAnsi="宋体" w:cs="宋体"/>
          <w:b w:val="0"/>
          <w:bCs w:val="0"/>
          <w:szCs w:val="21"/>
          <w:highlight w:val="none"/>
        </w:rPr>
      </w:pPr>
      <w:r>
        <w:rPr>
          <w:rFonts w:hint="eastAsia" w:ascii="宋体" w:hAnsi="宋体" w:cs="宋体"/>
          <w:b w:val="0"/>
          <w:bCs w:val="0"/>
          <w:szCs w:val="21"/>
          <w:highlight w:val="none"/>
        </w:rPr>
        <w:t>本工程位于中山市小榄镇</w:t>
      </w:r>
      <w:r>
        <w:rPr>
          <w:rFonts w:hint="eastAsia" w:ascii="宋体" w:hAnsi="宋体" w:cs="宋体"/>
          <w:b w:val="0"/>
          <w:bCs w:val="0"/>
          <w:szCs w:val="21"/>
          <w:highlight w:val="none"/>
          <w:lang w:eastAsia="zh-CN"/>
        </w:rPr>
        <w:t>盛丰</w:t>
      </w:r>
      <w:r>
        <w:rPr>
          <w:rFonts w:hint="eastAsia" w:ascii="宋体" w:hAnsi="宋体" w:cs="宋体"/>
          <w:b w:val="0"/>
          <w:bCs w:val="0"/>
          <w:szCs w:val="21"/>
          <w:highlight w:val="none"/>
        </w:rPr>
        <w:t>社区，</w:t>
      </w:r>
      <w:r>
        <w:rPr>
          <w:rFonts w:hint="eastAsia" w:ascii="宋体" w:hAnsi="宋体"/>
          <w:b w:val="0"/>
          <w:bCs w:val="0"/>
          <w:szCs w:val="21"/>
          <w:highlight w:val="none"/>
        </w:rPr>
        <w:t>建设框架结构工业厂房一幢，主体结构形式为框架结构。祥益东路12号厂区-厂房</w:t>
      </w:r>
      <w:r>
        <w:rPr>
          <w:rFonts w:hint="eastAsia" w:ascii="宋体" w:hAnsi="宋体"/>
          <w:b w:val="0"/>
          <w:bCs w:val="0"/>
          <w:szCs w:val="21"/>
          <w:highlight w:val="none"/>
          <w:lang w:eastAsia="zh-CN"/>
        </w:rPr>
        <w:t>二</w:t>
      </w:r>
      <w:r>
        <w:rPr>
          <w:rFonts w:hint="eastAsia" w:ascii="宋体" w:hAnsi="宋体"/>
          <w:b w:val="0"/>
          <w:bCs w:val="0"/>
          <w:szCs w:val="21"/>
          <w:highlight w:val="none"/>
        </w:rPr>
        <w:t>地上主体</w:t>
      </w:r>
      <w:r>
        <w:rPr>
          <w:rFonts w:hint="eastAsia" w:ascii="宋体" w:hAnsi="宋体"/>
          <w:b w:val="0"/>
          <w:bCs w:val="0"/>
          <w:szCs w:val="21"/>
          <w:highlight w:val="none"/>
          <w:lang w:val="en-US" w:eastAsia="zh-CN"/>
        </w:rPr>
        <w:t>5</w:t>
      </w:r>
      <w:r>
        <w:rPr>
          <w:rFonts w:hint="eastAsia" w:ascii="宋体" w:hAnsi="宋体"/>
          <w:b w:val="0"/>
          <w:bCs w:val="0"/>
          <w:szCs w:val="21"/>
          <w:highlight w:val="none"/>
        </w:rPr>
        <w:t>层，首层基底占地面积为</w:t>
      </w:r>
      <w:r>
        <w:rPr>
          <w:rFonts w:hint="eastAsia" w:ascii="宋体" w:hAnsi="宋体"/>
          <w:b w:val="0"/>
          <w:bCs w:val="0"/>
          <w:szCs w:val="21"/>
          <w:highlight w:val="none"/>
          <w:lang w:val="en-US" w:eastAsia="zh-CN"/>
        </w:rPr>
        <w:t>1209.60</w:t>
      </w:r>
      <w:r>
        <w:rPr>
          <w:rFonts w:hint="eastAsia" w:ascii="宋体" w:hAnsi="宋体"/>
          <w:b w:val="0"/>
          <w:bCs w:val="0"/>
          <w:szCs w:val="21"/>
          <w:highlight w:val="none"/>
        </w:rPr>
        <w:t>㎡，室外市政路面1334.29㎡</w:t>
      </w:r>
      <w:r>
        <w:rPr>
          <w:rFonts w:hint="eastAsia" w:ascii="宋体" w:hAnsi="宋体"/>
          <w:b w:val="0"/>
          <w:bCs w:val="0"/>
          <w:szCs w:val="21"/>
          <w:highlight w:val="none"/>
          <w:lang w:eastAsia="zh-CN"/>
        </w:rPr>
        <w:t>，建筑面积：6314.7</w:t>
      </w:r>
      <w:r>
        <w:rPr>
          <w:rFonts w:hint="eastAsia" w:ascii="宋体" w:hAnsi="宋体"/>
          <w:b w:val="0"/>
          <w:bCs w:val="0"/>
          <w:szCs w:val="21"/>
          <w:highlight w:val="none"/>
        </w:rPr>
        <w:t>㎡</w:t>
      </w:r>
      <w:r>
        <w:rPr>
          <w:rFonts w:hint="eastAsia" w:ascii="宋体" w:hAnsi="宋体"/>
          <w:b w:val="0"/>
          <w:bCs w:val="0"/>
          <w:szCs w:val="21"/>
          <w:highlight w:val="none"/>
          <w:lang w:eastAsia="zh-CN"/>
        </w:rPr>
        <w:t>，</w:t>
      </w:r>
      <w:r>
        <w:rPr>
          <w:rFonts w:hint="eastAsia" w:ascii="宋体" w:hAnsi="宋体"/>
          <w:b w:val="0"/>
          <w:bCs w:val="0"/>
          <w:szCs w:val="21"/>
          <w:highlight w:val="none"/>
        </w:rPr>
        <w:t>层数：5层，室外地面至顶层屋面高度为</w:t>
      </w:r>
      <w:r>
        <w:rPr>
          <w:rFonts w:hint="eastAsia" w:ascii="宋体" w:hAnsi="宋体"/>
          <w:b w:val="0"/>
          <w:bCs w:val="0"/>
          <w:szCs w:val="21"/>
          <w:highlight w:val="none"/>
          <w:lang w:val="en-US" w:eastAsia="zh-CN"/>
        </w:rPr>
        <w:t>23.95m</w:t>
      </w:r>
      <w:r>
        <w:rPr>
          <w:rFonts w:hint="eastAsia" w:ascii="宋体" w:hAnsi="宋体"/>
          <w:b w:val="0"/>
          <w:bCs w:val="0"/>
          <w:szCs w:val="21"/>
          <w:highlight w:val="none"/>
        </w:rPr>
        <w:t>，总用地面积</w:t>
      </w:r>
      <w:r>
        <w:rPr>
          <w:rFonts w:hint="eastAsia" w:ascii="宋体" w:hAnsi="宋体"/>
          <w:b w:val="0"/>
          <w:bCs w:val="0"/>
          <w:szCs w:val="21"/>
          <w:highlight w:val="none"/>
          <w:lang w:eastAsia="zh-CN"/>
        </w:rPr>
        <w:t>：</w:t>
      </w:r>
      <w:r>
        <w:rPr>
          <w:rFonts w:hint="eastAsia" w:ascii="宋体" w:hAnsi="宋体"/>
          <w:b w:val="0"/>
          <w:bCs w:val="0"/>
          <w:szCs w:val="21"/>
          <w:highlight w:val="none"/>
        </w:rPr>
        <w:t>6886.00㎡。本次竞投中介预算为12538738.83元</w:t>
      </w:r>
      <w:r>
        <w:rPr>
          <w:rFonts w:hint="eastAsia" w:ascii="宋体" w:hAnsi="宋体" w:cs="宋体"/>
          <w:b w:val="0"/>
          <w:bCs w:val="0"/>
          <w:szCs w:val="21"/>
          <w:highlight w:val="none"/>
        </w:rPr>
        <w:t>，其中施工场地按现状。</w:t>
      </w:r>
    </w:p>
    <w:p>
      <w:pPr>
        <w:spacing w:line="360" w:lineRule="auto"/>
        <w:ind w:firstLine="420" w:firstLineChars="200"/>
        <w:rPr>
          <w:rFonts w:ascii="宋体" w:hAnsi="宋体" w:cs="宋体"/>
          <w:szCs w:val="21"/>
        </w:rPr>
      </w:pPr>
      <w:r>
        <w:rPr>
          <w:rFonts w:hint="eastAsia" w:ascii="宋体" w:hAnsi="宋体" w:cs="宋体"/>
          <w:szCs w:val="21"/>
          <w:shd w:val="clear" w:color="auto" w:fill="FFFFFF" w:themeFill="background1"/>
        </w:rPr>
        <w:t>本工程竞投范围包括土建主体混凝土框架结构、土建装修工程、消防给排水工程、电气防雷工程、室外市政给排水工程等</w:t>
      </w:r>
      <w:r>
        <w:rPr>
          <w:rFonts w:hint="eastAsia" w:ascii="宋体" w:hAnsi="宋体"/>
          <w:spacing w:val="-10"/>
          <w:szCs w:val="21"/>
          <w:shd w:val="clear" w:color="auto" w:fill="FFFFFF" w:themeFill="background1"/>
        </w:rPr>
        <w:t>相关工程</w:t>
      </w:r>
      <w:r>
        <w:rPr>
          <w:rFonts w:hint="eastAsia" w:ascii="宋体" w:hAnsi="宋体"/>
          <w:spacing w:val="-10"/>
          <w:szCs w:val="21"/>
        </w:rPr>
        <w:t>。</w:t>
      </w:r>
      <w:r>
        <w:rPr>
          <w:rFonts w:hint="eastAsia"/>
          <w:szCs w:val="21"/>
        </w:rPr>
        <w:t>未经项目需求单位同意，中选单位不得以任何方式转包或分包本项目）。具体内容以建设单位（项目需求单位）提供的工程施工图及补充图纸、需求书、中介预算、答疑文件、工程量清单及相关的资料为准。</w:t>
      </w:r>
    </w:p>
    <w:p>
      <w:pPr>
        <w:spacing w:line="360" w:lineRule="auto"/>
        <w:rPr>
          <w:rFonts w:ascii="宋体" w:hAnsi="宋体" w:cs="宋体"/>
          <w:szCs w:val="21"/>
        </w:rPr>
      </w:pPr>
      <w:r>
        <w:rPr>
          <w:rFonts w:hint="eastAsia" w:ascii="宋体" w:hAnsi="宋体" w:cs="宋体"/>
          <w:b/>
          <w:bCs/>
          <w:szCs w:val="21"/>
        </w:rPr>
        <w:t>五、项目计划工期：</w:t>
      </w:r>
      <w:r>
        <w:rPr>
          <w:rFonts w:hint="eastAsia" w:ascii="宋体" w:hAnsi="宋体" w:cs="宋体"/>
          <w:b/>
          <w:bCs/>
          <w:szCs w:val="21"/>
          <w:u w:val="single"/>
          <w:lang w:val="en-US" w:eastAsia="zh-CN"/>
        </w:rPr>
        <w:t>365</w:t>
      </w:r>
      <w:r>
        <w:rPr>
          <w:rFonts w:hint="eastAsia" w:ascii="宋体" w:hAnsi="宋体" w:cs="宋体"/>
          <w:szCs w:val="21"/>
        </w:rPr>
        <w:t>个日历天</w:t>
      </w:r>
    </w:p>
    <w:p>
      <w:pPr>
        <w:pStyle w:val="9"/>
        <w:widowControl/>
        <w:spacing w:beforeAutospacing="0" w:afterAutospacing="0" w:line="360" w:lineRule="auto"/>
        <w:rPr>
          <w:rFonts w:ascii="宋体" w:hAnsi="宋体" w:cs="宋体"/>
          <w:b/>
          <w:bCs/>
          <w:color w:val="000000"/>
          <w:sz w:val="21"/>
          <w:szCs w:val="21"/>
        </w:rPr>
      </w:pPr>
      <w:r>
        <w:rPr>
          <w:rFonts w:hint="eastAsia" w:ascii="宋体" w:hAnsi="宋体" w:cs="宋体"/>
          <w:b/>
          <w:bCs/>
          <w:color w:val="000000"/>
          <w:sz w:val="21"/>
          <w:szCs w:val="21"/>
        </w:rPr>
        <w:t>六、资质要求及竞投安排须知如下：</w:t>
      </w:r>
    </w:p>
    <w:p>
      <w:pPr>
        <w:pStyle w:val="9"/>
        <w:widowControl/>
        <w:spacing w:beforeAutospacing="0" w:afterAutospacing="0" w:line="360" w:lineRule="auto"/>
        <w:ind w:firstLine="420" w:firstLineChars="200"/>
        <w:rPr>
          <w:rFonts w:ascii="宋体" w:hAnsi="宋体" w:cs="宋体"/>
          <w:color w:val="000000"/>
          <w:sz w:val="21"/>
          <w:szCs w:val="21"/>
        </w:rPr>
      </w:pPr>
      <w:r>
        <w:rPr>
          <w:rFonts w:hint="eastAsia" w:ascii="宋体" w:hAnsi="宋体" w:cs="宋体"/>
          <w:color w:val="000000"/>
          <w:sz w:val="21"/>
          <w:szCs w:val="21"/>
        </w:rPr>
        <w:t>具备</w:t>
      </w:r>
      <w:r>
        <w:rPr>
          <w:rFonts w:hint="eastAsia" w:ascii="宋体" w:hAnsi="宋体" w:cs="宋体"/>
          <w:color w:val="000000"/>
          <w:sz w:val="21"/>
          <w:szCs w:val="21"/>
          <w:u w:val="single"/>
        </w:rPr>
        <w:t>建筑工程施工总承包叁级或以上资质（含叁级）的企业</w:t>
      </w:r>
      <w:r>
        <w:rPr>
          <w:rFonts w:hint="eastAsia" w:ascii="宋体" w:hAnsi="宋体" w:cs="宋体"/>
          <w:color w:val="000000"/>
          <w:sz w:val="21"/>
          <w:szCs w:val="21"/>
        </w:rPr>
        <w:t>，</w:t>
      </w:r>
      <w:r>
        <w:rPr>
          <w:rFonts w:hint="eastAsia" w:ascii="宋体" w:hAnsi="宋体" w:cs="宋体"/>
          <w:sz w:val="21"/>
          <w:szCs w:val="21"/>
        </w:rPr>
        <w:t>经过市场监督管理部门确定的具有独立法人资格的企业，并具有有效的安全生产许可证。</w:t>
      </w:r>
    </w:p>
    <w:p>
      <w:pPr>
        <w:pStyle w:val="9"/>
        <w:widowControl/>
        <w:spacing w:beforeAutospacing="0" w:afterAutospacing="0" w:line="360" w:lineRule="auto"/>
        <w:ind w:firstLine="420" w:firstLineChars="200"/>
        <w:jc w:val="both"/>
        <w:rPr>
          <w:rFonts w:ascii="宋体" w:hAnsi="宋体" w:eastAsia="宋体" w:cs="宋体"/>
          <w:sz w:val="21"/>
          <w:szCs w:val="21"/>
        </w:rPr>
      </w:pPr>
      <w:r>
        <w:rPr>
          <w:rFonts w:hint="eastAsia" w:ascii="宋体" w:hAnsi="宋体" w:eastAsia="宋体" w:cs="宋体"/>
          <w:color w:val="FF0000"/>
          <w:sz w:val="21"/>
          <w:szCs w:val="21"/>
        </w:rPr>
        <w:t>公告发布时间202</w:t>
      </w:r>
      <w:r>
        <w:rPr>
          <w:rFonts w:hint="eastAsia" w:ascii="宋体" w:hAnsi="宋体" w:eastAsia="宋体" w:cs="宋体"/>
          <w:color w:val="FF0000"/>
          <w:sz w:val="21"/>
          <w:szCs w:val="21"/>
          <w:lang w:val="en-US" w:eastAsia="zh-CN"/>
        </w:rPr>
        <w:t>3</w:t>
      </w:r>
      <w:r>
        <w:rPr>
          <w:rFonts w:hint="eastAsia" w:ascii="宋体" w:hAnsi="宋体" w:eastAsia="宋体" w:cs="宋体"/>
          <w:color w:val="FF0000"/>
          <w:sz w:val="21"/>
          <w:szCs w:val="21"/>
        </w:rPr>
        <w:t>年</w:t>
      </w:r>
      <w:r>
        <w:rPr>
          <w:rFonts w:hint="eastAsia" w:ascii="宋体" w:hAnsi="宋体" w:eastAsia="宋体" w:cs="宋体"/>
          <w:color w:val="FF0000"/>
          <w:sz w:val="21"/>
          <w:szCs w:val="21"/>
          <w:lang w:val="en-US" w:eastAsia="zh-CN"/>
        </w:rPr>
        <w:t>5</w:t>
      </w:r>
      <w:r>
        <w:rPr>
          <w:rFonts w:hint="eastAsia" w:ascii="宋体" w:hAnsi="宋体" w:eastAsia="宋体" w:cs="宋体"/>
          <w:color w:val="FF0000"/>
          <w:sz w:val="21"/>
          <w:szCs w:val="21"/>
        </w:rPr>
        <w:t>月</w:t>
      </w:r>
      <w:r>
        <w:rPr>
          <w:rFonts w:hint="eastAsia" w:ascii="宋体" w:hAnsi="宋体" w:eastAsia="宋体" w:cs="宋体"/>
          <w:color w:val="FF0000"/>
          <w:sz w:val="21"/>
          <w:szCs w:val="21"/>
          <w:lang w:val="en-US" w:eastAsia="zh-CN"/>
        </w:rPr>
        <w:t>29</w:t>
      </w:r>
      <w:r>
        <w:rPr>
          <w:rFonts w:hint="eastAsia" w:ascii="宋体" w:hAnsi="宋体" w:eastAsia="宋体" w:cs="宋体"/>
          <w:color w:val="FF0000"/>
          <w:sz w:val="21"/>
          <w:szCs w:val="21"/>
        </w:rPr>
        <w:t>日9:00-2023年</w:t>
      </w:r>
      <w:r>
        <w:rPr>
          <w:rFonts w:hint="eastAsia" w:ascii="宋体" w:hAnsi="宋体" w:eastAsia="宋体" w:cs="宋体"/>
          <w:color w:val="FF0000"/>
          <w:sz w:val="21"/>
          <w:szCs w:val="21"/>
          <w:lang w:val="en-US" w:eastAsia="zh-CN"/>
        </w:rPr>
        <w:t>5</w:t>
      </w:r>
      <w:r>
        <w:rPr>
          <w:rFonts w:hint="eastAsia" w:ascii="宋体" w:hAnsi="宋体" w:eastAsia="宋体" w:cs="宋体"/>
          <w:color w:val="FF0000"/>
          <w:sz w:val="21"/>
          <w:szCs w:val="21"/>
        </w:rPr>
        <w:t>月</w:t>
      </w:r>
      <w:r>
        <w:rPr>
          <w:rFonts w:hint="eastAsia" w:ascii="宋体" w:hAnsi="宋体" w:eastAsia="宋体" w:cs="宋体"/>
          <w:color w:val="FF0000"/>
          <w:sz w:val="21"/>
          <w:szCs w:val="21"/>
          <w:lang w:val="en-US" w:eastAsia="zh-CN"/>
        </w:rPr>
        <w:t>31</w:t>
      </w:r>
      <w:r>
        <w:rPr>
          <w:rFonts w:hint="eastAsia" w:ascii="宋体" w:hAnsi="宋体" w:eastAsia="宋体" w:cs="宋体"/>
          <w:color w:val="FF0000"/>
          <w:sz w:val="21"/>
          <w:szCs w:val="21"/>
        </w:rPr>
        <w:t>日17:00，</w:t>
      </w:r>
      <w:r>
        <w:rPr>
          <w:rFonts w:hint="eastAsia" w:ascii="宋体" w:hAnsi="宋体" w:eastAsia="宋体" w:cs="宋体"/>
          <w:sz w:val="21"/>
          <w:szCs w:val="21"/>
        </w:rPr>
        <w:t>公告发布地点在中山市小榄镇</w:t>
      </w:r>
      <w:r>
        <w:rPr>
          <w:rFonts w:hint="eastAsia" w:ascii="宋体" w:hAnsi="宋体" w:eastAsia="宋体" w:cs="宋体"/>
          <w:sz w:val="21"/>
          <w:szCs w:val="21"/>
          <w:lang w:eastAsia="zh-CN"/>
        </w:rPr>
        <w:t>盛丰</w:t>
      </w:r>
      <w:r>
        <w:rPr>
          <w:rFonts w:hint="eastAsia" w:ascii="宋体" w:hAnsi="宋体" w:eastAsia="宋体" w:cs="宋体"/>
          <w:sz w:val="21"/>
          <w:szCs w:val="21"/>
        </w:rPr>
        <w:t>社区公告栏、中山市小榄镇城市建设和管理局公告栏及中山市小榄镇人民政府政务网；</w:t>
      </w:r>
    </w:p>
    <w:p>
      <w:pPr>
        <w:pStyle w:val="9"/>
        <w:widowControl/>
        <w:spacing w:beforeAutospacing="0" w:afterAutospacing="0" w:line="360" w:lineRule="auto"/>
        <w:ind w:firstLine="420" w:firstLineChars="200"/>
        <w:jc w:val="both"/>
        <w:rPr>
          <w:rFonts w:ascii="宋体" w:hAnsi="宋体" w:eastAsia="宋体" w:cs="宋体"/>
          <w:color w:val="000000"/>
          <w:sz w:val="21"/>
          <w:szCs w:val="21"/>
        </w:rPr>
      </w:pPr>
      <w:r>
        <w:rPr>
          <w:rFonts w:hint="eastAsia" w:ascii="宋体" w:hAnsi="宋体" w:eastAsia="宋体" w:cs="宋体"/>
          <w:color w:val="FF0000"/>
          <w:sz w:val="21"/>
          <w:szCs w:val="21"/>
        </w:rPr>
        <w:t>报名时间2023年</w:t>
      </w:r>
      <w:r>
        <w:rPr>
          <w:rFonts w:hint="eastAsia" w:ascii="宋体" w:hAnsi="宋体" w:eastAsia="宋体" w:cs="宋体"/>
          <w:color w:val="FF0000"/>
          <w:sz w:val="21"/>
          <w:szCs w:val="21"/>
          <w:lang w:val="en-US" w:eastAsia="zh-CN"/>
        </w:rPr>
        <w:t>5</w:t>
      </w:r>
      <w:r>
        <w:rPr>
          <w:rFonts w:hint="eastAsia" w:ascii="宋体" w:hAnsi="宋体" w:eastAsia="宋体" w:cs="宋体"/>
          <w:color w:val="FF0000"/>
          <w:sz w:val="21"/>
          <w:szCs w:val="21"/>
        </w:rPr>
        <w:t>月</w:t>
      </w:r>
      <w:r>
        <w:rPr>
          <w:rFonts w:hint="eastAsia" w:ascii="宋体" w:hAnsi="宋体" w:eastAsia="宋体" w:cs="宋体"/>
          <w:color w:val="FF0000"/>
          <w:sz w:val="21"/>
          <w:szCs w:val="21"/>
          <w:lang w:val="en-US" w:eastAsia="zh-CN"/>
        </w:rPr>
        <w:t>29</w:t>
      </w:r>
      <w:r>
        <w:rPr>
          <w:rFonts w:hint="eastAsia" w:ascii="宋体" w:hAnsi="宋体" w:eastAsia="宋体" w:cs="宋体"/>
          <w:color w:val="FF0000"/>
          <w:sz w:val="21"/>
          <w:szCs w:val="21"/>
        </w:rPr>
        <w:t>日9:00-2023年</w:t>
      </w:r>
      <w:r>
        <w:rPr>
          <w:rFonts w:hint="eastAsia" w:ascii="宋体" w:hAnsi="宋体" w:eastAsia="宋体" w:cs="宋体"/>
          <w:color w:val="FF0000"/>
          <w:sz w:val="21"/>
          <w:szCs w:val="21"/>
          <w:lang w:val="en-US" w:eastAsia="zh-CN"/>
        </w:rPr>
        <w:t>6</w:t>
      </w:r>
      <w:r>
        <w:rPr>
          <w:rFonts w:hint="eastAsia" w:ascii="宋体" w:hAnsi="宋体" w:eastAsia="宋体" w:cs="宋体"/>
          <w:color w:val="FF0000"/>
          <w:sz w:val="21"/>
          <w:szCs w:val="21"/>
        </w:rPr>
        <w:t>月</w:t>
      </w:r>
      <w:r>
        <w:rPr>
          <w:rFonts w:hint="eastAsia" w:ascii="宋体" w:hAnsi="宋体" w:eastAsia="宋体" w:cs="宋体"/>
          <w:color w:val="FF0000"/>
          <w:sz w:val="21"/>
          <w:szCs w:val="21"/>
          <w:lang w:val="en-US" w:eastAsia="zh-CN"/>
        </w:rPr>
        <w:t>1</w:t>
      </w:r>
      <w:r>
        <w:rPr>
          <w:rFonts w:hint="eastAsia" w:ascii="宋体" w:hAnsi="宋体" w:eastAsia="宋体" w:cs="宋体"/>
          <w:color w:val="FF0000"/>
          <w:sz w:val="21"/>
          <w:szCs w:val="21"/>
        </w:rPr>
        <w:t>日17:00</w:t>
      </w:r>
      <w:r>
        <w:rPr>
          <w:rFonts w:hint="eastAsia" w:ascii="宋体" w:hAnsi="宋体" w:eastAsia="宋体" w:cs="宋体"/>
          <w:sz w:val="21"/>
          <w:szCs w:val="21"/>
        </w:rPr>
        <w:t>，</w:t>
      </w:r>
      <w:r>
        <w:rPr>
          <w:rFonts w:hint="eastAsia" w:ascii="宋体" w:hAnsi="宋体" w:eastAsia="宋体" w:cs="宋体"/>
          <w:color w:val="000000"/>
          <w:sz w:val="21"/>
          <w:szCs w:val="21"/>
        </w:rPr>
        <w:t>凡符合条件且有意参加竞投单位，在规定时间到</w:t>
      </w:r>
      <w:r>
        <w:rPr>
          <w:rFonts w:hint="eastAsia" w:ascii="宋体" w:hAnsi="宋体" w:eastAsia="宋体" w:cs="宋体"/>
          <w:color w:val="000000"/>
          <w:sz w:val="21"/>
          <w:szCs w:val="21"/>
          <w:u w:val="single"/>
        </w:rPr>
        <w:t>中山市小榄镇城市建设和管理局招投标管理办公室（中山市小榄镇东港大道2号小榄镇人民政府第二办公区2号楼4楼）</w:t>
      </w:r>
      <w:r>
        <w:rPr>
          <w:rFonts w:hint="eastAsia" w:ascii="宋体" w:hAnsi="宋体" w:eastAsia="宋体" w:cs="宋体"/>
          <w:color w:val="000000"/>
          <w:sz w:val="21"/>
          <w:szCs w:val="21"/>
        </w:rPr>
        <w:t>报名，并于2023年</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日17:30前，由</w:t>
      </w:r>
      <w:r>
        <w:rPr>
          <w:rFonts w:hint="eastAsia" w:ascii="宋体" w:hAnsi="宋体" w:eastAsia="宋体" w:cs="宋体"/>
          <w:color w:val="000000"/>
          <w:sz w:val="21"/>
          <w:szCs w:val="21"/>
          <w:u w:val="single"/>
        </w:rPr>
        <w:t xml:space="preserve"> </w:t>
      </w:r>
      <w:r>
        <w:rPr>
          <w:rFonts w:hint="eastAsia" w:ascii="宋体" w:hAnsi="宋体" w:eastAsia="宋体" w:cs="宋体"/>
          <w:sz w:val="21"/>
          <w:szCs w:val="21"/>
          <w:u w:val="single"/>
        </w:rPr>
        <w:t>中山市小榄镇城市建设和管理局</w:t>
      </w:r>
      <w:r>
        <w:rPr>
          <w:rFonts w:hint="eastAsia" w:ascii="宋体" w:hAnsi="宋体" w:eastAsia="宋体" w:cs="宋体"/>
          <w:color w:val="000000"/>
          <w:sz w:val="21"/>
          <w:szCs w:val="21"/>
          <w:u w:val="single"/>
        </w:rPr>
        <w:t xml:space="preserve">招投标管理办公室 </w:t>
      </w:r>
      <w:r>
        <w:rPr>
          <w:rFonts w:hint="eastAsia" w:ascii="宋体" w:hAnsi="宋体" w:eastAsia="宋体" w:cs="宋体"/>
          <w:color w:val="000000"/>
          <w:sz w:val="21"/>
          <w:szCs w:val="21"/>
        </w:rPr>
        <w:t>以电子文档形式，通过网络邮件（将需求书、施工图纸、XML2.0格式工程量清单及中介预算）发送至报名单位的指定邮箱中（要求各报名单位邮箱设置自动回复功能），报名单位自行下载，并详细阅读如发现有缺失情况，应及时与</w:t>
      </w:r>
      <w:r>
        <w:rPr>
          <w:rFonts w:hint="eastAsia" w:ascii="宋体" w:hAnsi="宋体" w:eastAsia="宋体" w:cs="宋体"/>
          <w:color w:val="000000"/>
          <w:sz w:val="21"/>
          <w:szCs w:val="21"/>
          <w:u w:val="single"/>
        </w:rPr>
        <w:t xml:space="preserve"> </w:t>
      </w:r>
      <w:r>
        <w:rPr>
          <w:rFonts w:hint="eastAsia" w:ascii="宋体" w:hAnsi="宋体" w:eastAsia="宋体" w:cs="宋体"/>
          <w:sz w:val="21"/>
          <w:szCs w:val="21"/>
          <w:u w:val="single"/>
        </w:rPr>
        <w:t>中山市小榄镇城市建设和管理局</w:t>
      </w:r>
      <w:r>
        <w:rPr>
          <w:rFonts w:hint="eastAsia" w:ascii="宋体" w:hAnsi="宋体" w:eastAsia="宋体" w:cs="宋体"/>
          <w:color w:val="000000"/>
          <w:sz w:val="21"/>
          <w:szCs w:val="21"/>
          <w:u w:val="single"/>
        </w:rPr>
        <w:t xml:space="preserve">招投标管理办公室 何小姐（电话：0760-22280839） </w:t>
      </w:r>
      <w:r>
        <w:rPr>
          <w:rFonts w:hint="eastAsia" w:ascii="宋体" w:hAnsi="宋体" w:eastAsia="宋体" w:cs="宋体"/>
          <w:color w:val="000000"/>
          <w:sz w:val="21"/>
          <w:szCs w:val="21"/>
        </w:rPr>
        <w:t>联系。</w:t>
      </w:r>
    </w:p>
    <w:p>
      <w:pPr>
        <w:pStyle w:val="9"/>
        <w:widowControl/>
        <w:spacing w:beforeAutospacing="0" w:afterAutospacing="0" w:line="312" w:lineRule="auto"/>
        <w:rPr>
          <w:rFonts w:ascii="宋体" w:hAnsi="宋体" w:cs="宋体"/>
          <w:b/>
          <w:bCs/>
          <w:color w:val="000000"/>
          <w:sz w:val="21"/>
          <w:szCs w:val="21"/>
        </w:rPr>
      </w:pPr>
      <w:r>
        <w:rPr>
          <w:rFonts w:hint="eastAsia" w:ascii="宋体" w:hAnsi="宋体" w:cs="宋体"/>
          <w:b/>
          <w:bCs/>
          <w:color w:val="000000"/>
          <w:sz w:val="21"/>
          <w:szCs w:val="21"/>
        </w:rPr>
        <w:t>七、所需报名资料如下：</w:t>
      </w:r>
    </w:p>
    <w:p>
      <w:pPr>
        <w:pStyle w:val="9"/>
        <w:widowControl/>
        <w:spacing w:beforeAutospacing="0" w:afterAutospacing="0" w:line="312" w:lineRule="auto"/>
        <w:rPr>
          <w:rFonts w:ascii="宋体" w:hAnsi="宋体" w:cs="宋体"/>
          <w:color w:val="000000"/>
          <w:sz w:val="21"/>
          <w:szCs w:val="21"/>
        </w:rPr>
      </w:pPr>
      <w:r>
        <w:rPr>
          <w:rFonts w:hint="eastAsia" w:ascii="宋体" w:hAnsi="宋体" w:cs="宋体"/>
          <w:color w:val="000000"/>
          <w:sz w:val="21"/>
          <w:szCs w:val="21"/>
        </w:rPr>
        <w:t>（1）1、</w:t>
      </w:r>
      <w:r>
        <w:rPr>
          <w:rFonts w:hint="eastAsia" w:ascii="宋体" w:hAnsi="宋体" w:cs="仿宋_GB2312"/>
          <w:kern w:val="32"/>
          <w:sz w:val="21"/>
          <w:szCs w:val="21"/>
        </w:rPr>
        <w:t>《公开选择承建（服务）单位报名表》</w:t>
      </w:r>
      <w:r>
        <w:rPr>
          <w:rFonts w:hint="eastAsia" w:ascii="宋体" w:hAnsi="宋体" w:cs="宋体"/>
          <w:color w:val="000000"/>
          <w:sz w:val="21"/>
          <w:szCs w:val="21"/>
        </w:rPr>
        <w:t>原件（加盖报名单位公章）；</w:t>
      </w:r>
    </w:p>
    <w:p>
      <w:pPr>
        <w:pStyle w:val="9"/>
        <w:widowControl/>
        <w:spacing w:beforeAutospacing="0" w:afterAutospacing="0" w:line="312" w:lineRule="auto"/>
        <w:ind w:firstLine="420" w:firstLineChars="200"/>
        <w:rPr>
          <w:rFonts w:ascii="宋体" w:hAnsi="宋体" w:cs="宋体"/>
          <w:color w:val="000000"/>
          <w:sz w:val="21"/>
          <w:szCs w:val="21"/>
        </w:rPr>
      </w:pPr>
      <w:r>
        <w:rPr>
          <w:rFonts w:hint="eastAsia" w:ascii="宋体" w:hAnsi="宋体" w:cs="宋体"/>
          <w:color w:val="000000"/>
          <w:sz w:val="21"/>
          <w:szCs w:val="21"/>
        </w:rPr>
        <w:t>2、法定代表人证明书，需附上法人身份证复印件，加盖公章；</w:t>
      </w:r>
    </w:p>
    <w:p>
      <w:pPr>
        <w:pStyle w:val="9"/>
        <w:widowControl/>
        <w:spacing w:beforeAutospacing="0" w:afterAutospacing="0" w:line="312" w:lineRule="auto"/>
        <w:ind w:firstLine="420" w:firstLineChars="200"/>
        <w:rPr>
          <w:rFonts w:ascii="宋体" w:hAnsi="宋体" w:cs="宋体"/>
          <w:color w:val="000000"/>
          <w:sz w:val="21"/>
          <w:szCs w:val="21"/>
        </w:rPr>
      </w:pPr>
      <w:r>
        <w:rPr>
          <w:rFonts w:hint="eastAsia" w:ascii="宋体" w:hAnsi="宋体" w:cs="宋体"/>
          <w:color w:val="000000"/>
          <w:sz w:val="21"/>
          <w:szCs w:val="21"/>
        </w:rPr>
        <w:t>3、法人授权委托书，阐明委托事项，需附上受托人身份证复印件，加盖公章，委托书需法人亲笔签名确认</w:t>
      </w:r>
      <w:r>
        <w:rPr>
          <w:rFonts w:hint="eastAsia" w:ascii="宋体" w:hAnsi="宋体" w:eastAsia="宋体" w:cs="宋体"/>
          <w:color w:val="auto"/>
          <w:kern w:val="0"/>
          <w:sz w:val="21"/>
          <w:szCs w:val="21"/>
          <w:highlight w:val="none"/>
          <w:lang w:val="en-US" w:eastAsia="zh-CN" w:bidi="ar"/>
        </w:rPr>
        <w:t>（法人或受托人到场报名时需出示本人身份证原件，如授权委托人报名的，授权委托人应为竞投单位的员工，附授权委托人聘书及社保证明（2023年2月-4月））；</w:t>
      </w:r>
    </w:p>
    <w:p>
      <w:pPr>
        <w:pStyle w:val="9"/>
        <w:widowControl/>
        <w:spacing w:beforeAutospacing="0" w:afterAutospacing="0" w:line="312" w:lineRule="auto"/>
        <w:ind w:firstLine="420" w:firstLineChars="200"/>
        <w:rPr>
          <w:rFonts w:ascii="宋体" w:hAnsi="宋体" w:cs="宋体"/>
          <w:color w:val="000000"/>
          <w:sz w:val="21"/>
          <w:szCs w:val="21"/>
        </w:rPr>
      </w:pPr>
      <w:r>
        <w:rPr>
          <w:rFonts w:hint="eastAsia" w:ascii="宋体" w:hAnsi="宋体" w:cs="宋体"/>
          <w:color w:val="000000"/>
          <w:sz w:val="21"/>
          <w:szCs w:val="21"/>
        </w:rPr>
        <w:t>4、营业执照原件及复印件（如营业执照为三证合一可提供清晰可扫描二维码查阅的营业执照复印件，加盖公章）；</w:t>
      </w:r>
    </w:p>
    <w:p>
      <w:pPr>
        <w:pStyle w:val="9"/>
        <w:widowControl/>
        <w:spacing w:beforeAutospacing="0" w:afterAutospacing="0" w:line="312" w:lineRule="auto"/>
        <w:ind w:firstLine="420" w:firstLineChars="200"/>
        <w:rPr>
          <w:rFonts w:ascii="宋体" w:hAnsi="宋体" w:cs="宋体"/>
          <w:color w:val="000000"/>
          <w:sz w:val="21"/>
          <w:szCs w:val="21"/>
        </w:rPr>
      </w:pPr>
      <w:r>
        <w:rPr>
          <w:rFonts w:hint="eastAsia" w:ascii="宋体" w:hAnsi="宋体" w:cs="宋体"/>
          <w:color w:val="000000"/>
          <w:sz w:val="21"/>
          <w:szCs w:val="21"/>
        </w:rPr>
        <w:t>5、资质证书原件及复印件（资质证上有二维码的，可提供复印件，但保证清晰能扫码查阅）；</w:t>
      </w:r>
    </w:p>
    <w:p>
      <w:pPr>
        <w:pStyle w:val="9"/>
        <w:widowControl/>
        <w:spacing w:beforeAutospacing="0" w:afterAutospacing="0" w:line="312" w:lineRule="auto"/>
        <w:ind w:firstLine="420" w:firstLineChars="200"/>
        <w:rPr>
          <w:rFonts w:ascii="宋体" w:hAnsi="宋体" w:eastAsia="宋体" w:cs="宋体"/>
          <w:color w:val="000000"/>
          <w:sz w:val="21"/>
          <w:szCs w:val="21"/>
        </w:rPr>
      </w:pPr>
      <w:r>
        <w:rPr>
          <w:rFonts w:hint="eastAsia" w:ascii="宋体" w:hAnsi="宋体" w:cs="宋体"/>
          <w:color w:val="000000"/>
          <w:sz w:val="21"/>
          <w:szCs w:val="21"/>
        </w:rPr>
        <w:t>6、</w:t>
      </w:r>
      <w:r>
        <w:rPr>
          <w:rFonts w:hint="eastAsia" w:ascii="宋体" w:hAnsi="宋体" w:cs="宋体"/>
          <w:sz w:val="21"/>
          <w:szCs w:val="21"/>
        </w:rPr>
        <w:t>安全生产许可证（有效期内的纸质证书原件及复印件；或清晰打印可扫描二维码的电子证书，加盖竞投单位公章）</w:t>
      </w:r>
      <w:r>
        <w:rPr>
          <w:rFonts w:hint="eastAsia" w:ascii="宋体" w:hAnsi="宋体" w:cs="宋体"/>
          <w:color w:val="000000"/>
          <w:sz w:val="21"/>
          <w:szCs w:val="21"/>
        </w:rPr>
        <w:t>；</w:t>
      </w:r>
    </w:p>
    <w:p>
      <w:pPr>
        <w:pStyle w:val="9"/>
        <w:widowControl/>
        <w:spacing w:beforeAutospacing="0" w:afterAutospacing="0" w:line="312" w:lineRule="auto"/>
        <w:ind w:firstLine="420" w:firstLineChars="200"/>
        <w:rPr>
          <w:rFonts w:ascii="宋体" w:hAnsi="宋体" w:cs="宋体"/>
          <w:color w:val="000000"/>
          <w:sz w:val="21"/>
          <w:szCs w:val="21"/>
          <w:u w:val="single"/>
        </w:rPr>
      </w:pPr>
      <w:r>
        <w:rPr>
          <w:rFonts w:hint="eastAsia" w:ascii="宋体" w:hAnsi="宋体" w:cs="宋体"/>
          <w:color w:val="000000"/>
          <w:sz w:val="21"/>
          <w:szCs w:val="21"/>
        </w:rPr>
        <w:t>7、诚信要求：已完成中山市建设工程企业诚信档案登记备案，在中山市建设工程企业诚信评价C级及以上且显示资料未过期。</w:t>
      </w:r>
      <w:r>
        <w:rPr>
          <w:rFonts w:hint="eastAsia" w:ascii="宋体" w:hAnsi="宋体" w:cs="宋体"/>
          <w:color w:val="000000"/>
          <w:sz w:val="21"/>
          <w:szCs w:val="21"/>
          <w:u w:val="single"/>
        </w:rPr>
        <w:t>（提供202</w:t>
      </w:r>
      <w:r>
        <w:rPr>
          <w:rFonts w:hint="eastAsia" w:ascii="宋体" w:hAnsi="宋体" w:cs="宋体"/>
          <w:color w:val="000000"/>
          <w:sz w:val="21"/>
          <w:szCs w:val="21"/>
          <w:u w:val="single"/>
          <w:lang w:val="en-US" w:eastAsia="zh-CN"/>
        </w:rPr>
        <w:t>3</w:t>
      </w:r>
      <w:r>
        <w:rPr>
          <w:rFonts w:hint="eastAsia" w:ascii="宋体" w:hAnsi="宋体" w:cs="宋体"/>
          <w:color w:val="000000"/>
          <w:sz w:val="21"/>
          <w:szCs w:val="21"/>
          <w:u w:val="single"/>
        </w:rPr>
        <w:t>年</w:t>
      </w:r>
      <w:r>
        <w:rPr>
          <w:rFonts w:hint="eastAsia" w:ascii="宋体" w:hAnsi="宋体" w:cs="宋体"/>
          <w:color w:val="000000"/>
          <w:sz w:val="21"/>
          <w:szCs w:val="21"/>
          <w:u w:val="single"/>
          <w:lang w:val="en-US" w:eastAsia="zh-CN"/>
        </w:rPr>
        <w:t>5</w:t>
      </w:r>
      <w:r>
        <w:rPr>
          <w:rFonts w:hint="eastAsia" w:ascii="宋体" w:hAnsi="宋体" w:cs="宋体"/>
          <w:color w:val="000000"/>
          <w:sz w:val="21"/>
          <w:szCs w:val="21"/>
          <w:u w:val="single"/>
        </w:rPr>
        <w:t>月份企业网页信息截图为准）</w:t>
      </w:r>
      <w:r>
        <w:rPr>
          <w:rFonts w:hint="eastAsia" w:ascii="宋体" w:hAnsi="宋体" w:cs="宋体"/>
          <w:color w:val="000000"/>
          <w:sz w:val="21"/>
          <w:szCs w:val="21"/>
        </w:rPr>
        <w:t>；</w:t>
      </w:r>
    </w:p>
    <w:p>
      <w:pPr>
        <w:pStyle w:val="9"/>
        <w:widowControl/>
        <w:spacing w:beforeAutospacing="0" w:afterAutospacing="0" w:line="312" w:lineRule="auto"/>
        <w:ind w:firstLine="420" w:firstLineChars="200"/>
        <w:rPr>
          <w:rFonts w:ascii="宋体" w:hAnsi="宋体" w:cs="宋体"/>
          <w:color w:val="000000"/>
          <w:sz w:val="21"/>
          <w:szCs w:val="21"/>
        </w:rPr>
      </w:pPr>
      <w:r>
        <w:rPr>
          <w:rFonts w:hint="eastAsia" w:ascii="宋体" w:hAnsi="宋体" w:cs="宋体"/>
          <w:color w:val="000000"/>
          <w:sz w:val="21"/>
          <w:szCs w:val="21"/>
        </w:rPr>
        <w:t>8、根据相关文件要求，在《信用中国》网站提供（网址： www.creditchina.gov.cn ）未被确定为“失信被执行人”报告，报名单位需下载打印信用报告。</w:t>
      </w:r>
    </w:p>
    <w:p>
      <w:pPr>
        <w:pStyle w:val="9"/>
        <w:widowControl/>
        <w:spacing w:beforeAutospacing="0" w:afterAutospacing="0" w:line="312" w:lineRule="auto"/>
        <w:rPr>
          <w:rFonts w:ascii="宋体" w:hAnsi="宋体" w:cs="宋体"/>
          <w:color w:val="000000"/>
          <w:sz w:val="21"/>
          <w:szCs w:val="21"/>
        </w:rPr>
      </w:pPr>
      <w:r>
        <w:rPr>
          <w:rFonts w:hint="eastAsia" w:ascii="宋体" w:hAnsi="宋体" w:cs="宋体"/>
          <w:color w:val="000000"/>
          <w:sz w:val="21"/>
          <w:szCs w:val="21"/>
        </w:rPr>
        <w:t>注：以上1、2、3、4、5、6、7、8资料均需加盖单位公章，原件核对后退回。</w:t>
      </w:r>
    </w:p>
    <w:p>
      <w:pPr>
        <w:pStyle w:val="9"/>
        <w:widowControl/>
        <w:spacing w:beforeAutospacing="0" w:afterAutospacing="0" w:line="312" w:lineRule="auto"/>
        <w:rPr>
          <w:rFonts w:ascii="宋体" w:hAnsi="宋体" w:cs="宋体"/>
          <w:color w:val="000000"/>
          <w:sz w:val="21"/>
          <w:szCs w:val="21"/>
        </w:rPr>
      </w:pPr>
      <w:r>
        <w:rPr>
          <w:rFonts w:hint="eastAsia" w:ascii="宋体" w:hAnsi="宋体" w:cs="宋体"/>
          <w:color w:val="000000"/>
          <w:sz w:val="21"/>
          <w:szCs w:val="21"/>
        </w:rPr>
        <w:t>（2）竞投文件均须由总公司盖章，不允许盖分公司章。</w:t>
      </w:r>
    </w:p>
    <w:p>
      <w:pPr>
        <w:pStyle w:val="9"/>
        <w:widowControl/>
        <w:spacing w:beforeAutospacing="0" w:afterAutospacing="0" w:line="312" w:lineRule="auto"/>
        <w:rPr>
          <w:rFonts w:ascii="宋体" w:hAnsi="宋体" w:cs="宋体"/>
          <w:color w:val="000000"/>
          <w:sz w:val="21"/>
          <w:szCs w:val="21"/>
        </w:rPr>
      </w:pPr>
      <w:r>
        <w:rPr>
          <w:rFonts w:hint="eastAsia" w:ascii="宋体" w:hAnsi="宋体" w:cs="宋体"/>
          <w:color w:val="000000"/>
          <w:sz w:val="21"/>
          <w:szCs w:val="21"/>
        </w:rPr>
        <w:t>（3）如贵单位承诺参加竞投后无正当理由退出的则需承担相关法律法规及需求书约定的责任。</w:t>
      </w:r>
    </w:p>
    <w:p>
      <w:pPr>
        <w:pStyle w:val="9"/>
        <w:widowControl/>
        <w:spacing w:beforeAutospacing="0" w:afterAutospacing="0" w:line="312" w:lineRule="auto"/>
        <w:rPr>
          <w:rFonts w:ascii="宋体" w:hAnsi="宋体" w:cs="宋体"/>
          <w:color w:val="000000"/>
          <w:sz w:val="21"/>
          <w:szCs w:val="21"/>
        </w:rPr>
      </w:pPr>
      <w:r>
        <w:rPr>
          <w:rFonts w:hint="eastAsia" w:ascii="宋体" w:hAnsi="宋体" w:cs="宋体"/>
          <w:color w:val="000000"/>
          <w:sz w:val="21"/>
          <w:szCs w:val="21"/>
        </w:rPr>
        <w:t>（4）贵单位参加竞投报名则视为承诺参加本次竞投，接受并遵守项目需求单位提出的竞投程序、相关时间安排及所有要求，需秉承诚实信用原则；严格按照需求书要求参加竞投。</w:t>
      </w:r>
    </w:p>
    <w:p>
      <w:pPr>
        <w:pStyle w:val="9"/>
        <w:pageBreakBefore w:val="0"/>
        <w:widowControl/>
        <w:kinsoku/>
        <w:wordWrap/>
        <w:overflowPunct/>
        <w:topLinePunct w:val="0"/>
        <w:autoSpaceDE/>
        <w:autoSpaceDN/>
        <w:bidi w:val="0"/>
        <w:adjustRightInd/>
        <w:snapToGrid/>
        <w:spacing w:beforeAutospacing="0" w:afterAutospacing="0" w:line="288" w:lineRule="auto"/>
        <w:ind w:firstLine="420" w:firstLineChars="200"/>
        <w:textAlignment w:val="auto"/>
        <w:rPr>
          <w:rFonts w:hint="eastAsia" w:ascii="宋体" w:hAnsi="宋体" w:cs="宋体"/>
          <w:b/>
          <w:bCs/>
          <w:kern w:val="2"/>
          <w:sz w:val="21"/>
          <w:szCs w:val="21"/>
        </w:rPr>
      </w:pPr>
      <w:r>
        <w:rPr>
          <w:rFonts w:hint="eastAsia" w:ascii="宋体" w:hAnsi="宋体" w:cs="宋体"/>
          <w:color w:val="000000"/>
          <w:sz w:val="21"/>
          <w:szCs w:val="21"/>
        </w:rPr>
        <w:t>八、详细情况请登录中山市小榄镇人民政府政务网http://www.zs.gov.cn/xlz/下载附件，附件已包含竞投文件电子文档。</w:t>
      </w:r>
    </w:p>
    <w:p>
      <w:pPr>
        <w:pStyle w:val="9"/>
        <w:pageBreakBefore w:val="0"/>
        <w:widowControl/>
        <w:kinsoku/>
        <w:wordWrap/>
        <w:overflowPunct/>
        <w:topLinePunct w:val="0"/>
        <w:autoSpaceDE/>
        <w:autoSpaceDN/>
        <w:bidi w:val="0"/>
        <w:adjustRightInd/>
        <w:snapToGrid/>
        <w:spacing w:beforeAutospacing="0" w:afterAutospacing="0" w:line="288" w:lineRule="auto"/>
        <w:ind w:firstLine="420" w:firstLineChars="200"/>
        <w:textAlignment w:val="auto"/>
        <w:rPr>
          <w:rFonts w:hint="eastAsia" w:ascii="宋体" w:hAnsi="宋体" w:cs="宋体"/>
          <w:b w:val="0"/>
          <w:bCs w:val="0"/>
          <w:kern w:val="2"/>
          <w:sz w:val="21"/>
          <w:szCs w:val="21"/>
        </w:rPr>
      </w:pPr>
      <w:r>
        <w:rPr>
          <w:rFonts w:hint="eastAsia" w:ascii="宋体" w:hAnsi="宋体" w:cs="宋体"/>
          <w:b w:val="0"/>
          <w:bCs w:val="0"/>
          <w:kern w:val="2"/>
          <w:sz w:val="21"/>
          <w:szCs w:val="21"/>
          <w:lang w:val="en-US" w:eastAsia="zh-CN"/>
        </w:rPr>
        <w:t>九、</w:t>
      </w:r>
      <w:r>
        <w:rPr>
          <w:rFonts w:hint="eastAsia" w:ascii="宋体" w:hAnsi="宋体" w:cs="宋体"/>
          <w:b w:val="0"/>
          <w:bCs w:val="0"/>
          <w:kern w:val="2"/>
          <w:sz w:val="21"/>
          <w:szCs w:val="21"/>
        </w:rPr>
        <w:t>联系方式：</w:t>
      </w:r>
    </w:p>
    <w:tbl>
      <w:tblPr>
        <w:tblStyle w:val="11"/>
        <w:tblW w:w="10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3859"/>
        <w:gridCol w:w="1418"/>
        <w:gridCol w:w="3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eastAsia" w:ascii="宋体" w:hAnsi="宋体" w:cs="宋体"/>
                <w:sz w:val="21"/>
                <w:szCs w:val="21"/>
              </w:rPr>
            </w:pPr>
            <w:r>
              <w:rPr>
                <w:rFonts w:hint="eastAsia" w:ascii="宋体" w:hAnsi="宋体" w:cs="宋体"/>
                <w:sz w:val="21"/>
                <w:szCs w:val="21"/>
              </w:rPr>
              <w:t>建设单位：</w:t>
            </w:r>
          </w:p>
        </w:tc>
        <w:tc>
          <w:tcPr>
            <w:tcW w:w="3859"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Autospacing="0" w:afterAutospacing="0" w:line="360" w:lineRule="exact"/>
              <w:jc w:val="center"/>
              <w:rPr>
                <w:rFonts w:hint="eastAsia" w:ascii="宋体" w:hAnsi="宋体" w:cs="宋体"/>
                <w:sz w:val="21"/>
                <w:szCs w:val="21"/>
              </w:rPr>
            </w:pPr>
            <w:r>
              <w:rPr>
                <w:rFonts w:hint="eastAsia" w:ascii="宋体" w:hAnsi="宋体" w:eastAsia="宋体" w:cs="宋体"/>
                <w:sz w:val="21"/>
                <w:szCs w:val="21"/>
              </w:rPr>
              <w:t>中山市小榄镇盛丰股份合作经济联合社</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eastAsia" w:ascii="宋体" w:hAnsi="宋体" w:cs="宋体"/>
                <w:sz w:val="21"/>
                <w:szCs w:val="21"/>
              </w:rPr>
            </w:pPr>
            <w:r>
              <w:rPr>
                <w:rFonts w:hint="eastAsia" w:ascii="宋体" w:hAnsi="宋体" w:cs="宋体"/>
                <w:sz w:val="21"/>
                <w:szCs w:val="21"/>
              </w:rPr>
              <w:t>代理单位：</w:t>
            </w:r>
          </w:p>
        </w:tc>
        <w:tc>
          <w:tcPr>
            <w:tcW w:w="3712"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广东皓盈工程管理咨询有限公司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eastAsia" w:ascii="宋体" w:hAnsi="宋体" w:cs="宋体"/>
                <w:color w:val="auto"/>
                <w:sz w:val="21"/>
                <w:szCs w:val="21"/>
              </w:rPr>
            </w:pPr>
            <w:r>
              <w:rPr>
                <w:rFonts w:hint="eastAsia" w:ascii="宋体" w:hAnsi="宋体" w:cs="宋体"/>
                <w:color w:val="auto"/>
                <w:sz w:val="21"/>
                <w:szCs w:val="21"/>
              </w:rPr>
              <w:t xml:space="preserve">地 </w:t>
            </w:r>
            <w:r>
              <w:rPr>
                <w:rFonts w:ascii="宋体" w:hAnsi="宋体" w:cs="宋体"/>
                <w:color w:val="auto"/>
                <w:sz w:val="21"/>
                <w:szCs w:val="21"/>
              </w:rPr>
              <w:t xml:space="preserve"> </w:t>
            </w:r>
            <w:r>
              <w:rPr>
                <w:rFonts w:hint="eastAsia" w:ascii="宋体" w:hAnsi="宋体" w:cs="宋体"/>
                <w:color w:val="auto"/>
                <w:sz w:val="21"/>
                <w:szCs w:val="21"/>
              </w:rPr>
              <w:t>址：</w:t>
            </w:r>
          </w:p>
        </w:tc>
        <w:tc>
          <w:tcPr>
            <w:tcW w:w="3859"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Autospacing="0" w:afterAutospacing="0" w:line="36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000000"/>
                <w:sz w:val="21"/>
                <w:szCs w:val="21"/>
              </w:rPr>
              <w:t>中山市小榄镇东宝南路1号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eastAsia" w:ascii="宋体" w:hAnsi="宋体" w:cs="宋体"/>
                <w:color w:val="auto"/>
                <w:sz w:val="21"/>
                <w:szCs w:val="21"/>
              </w:rPr>
            </w:pPr>
            <w:r>
              <w:rPr>
                <w:rFonts w:hint="eastAsia" w:ascii="宋体" w:hAnsi="宋体" w:cs="宋体"/>
                <w:color w:val="auto"/>
                <w:sz w:val="21"/>
                <w:szCs w:val="21"/>
              </w:rPr>
              <w:t xml:space="preserve">地 </w:t>
            </w:r>
            <w:r>
              <w:rPr>
                <w:rFonts w:ascii="宋体" w:hAnsi="宋体" w:cs="宋体"/>
                <w:color w:val="auto"/>
                <w:sz w:val="21"/>
                <w:szCs w:val="21"/>
              </w:rPr>
              <w:t xml:space="preserve"> </w:t>
            </w:r>
            <w:r>
              <w:rPr>
                <w:rFonts w:hint="eastAsia" w:ascii="宋体" w:hAnsi="宋体" w:cs="宋体"/>
                <w:color w:val="auto"/>
                <w:sz w:val="21"/>
                <w:szCs w:val="21"/>
              </w:rPr>
              <w:t>址：</w:t>
            </w:r>
          </w:p>
        </w:tc>
        <w:tc>
          <w:tcPr>
            <w:tcW w:w="3712"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中山市小榄镇龙山路6号4楼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联系人：</w:t>
            </w:r>
          </w:p>
        </w:tc>
        <w:tc>
          <w:tcPr>
            <w:tcW w:w="38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000000"/>
                <w:sz w:val="21"/>
                <w:szCs w:val="21"/>
              </w:rPr>
              <w:t>李志标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eastAsia" w:ascii="宋体" w:hAnsi="宋体" w:cs="宋体"/>
                <w:color w:val="auto"/>
                <w:sz w:val="21"/>
                <w:szCs w:val="21"/>
              </w:rPr>
            </w:pPr>
            <w:r>
              <w:rPr>
                <w:rFonts w:hint="eastAsia" w:ascii="宋体" w:hAnsi="宋体" w:cs="宋体"/>
                <w:color w:val="auto"/>
                <w:sz w:val="21"/>
                <w:szCs w:val="21"/>
              </w:rPr>
              <w:t>联系人：</w:t>
            </w:r>
          </w:p>
        </w:tc>
        <w:tc>
          <w:tcPr>
            <w:tcW w:w="3712" w:type="dxa"/>
            <w:tcBorders>
              <w:top w:val="single" w:color="auto" w:sz="4" w:space="0"/>
              <w:left w:val="single" w:color="auto" w:sz="4" w:space="0"/>
              <w:bottom w:val="single" w:color="auto" w:sz="4" w:space="0"/>
              <w:right w:val="single" w:color="auto" w:sz="4" w:space="0"/>
            </w:tcBorders>
            <w:noWrap w:val="0"/>
            <w:vAlign w:val="center"/>
          </w:tcPr>
          <w:p>
            <w:pPr>
              <w:pStyle w:val="16"/>
              <w:pageBreakBefore w:val="0"/>
              <w:kinsoku/>
              <w:wordWrap/>
              <w:overflowPunct/>
              <w:topLinePunct w:val="0"/>
              <w:autoSpaceDE/>
              <w:autoSpaceDN/>
              <w:bidi w:val="0"/>
              <w:adjustRightInd/>
              <w:snapToGrid/>
              <w:spacing w:line="288" w:lineRule="auto"/>
              <w:jc w:val="center"/>
              <w:textAlignment w:val="auto"/>
              <w:rPr>
                <w:rFonts w:hint="default" w:eastAsia="宋体" w:cs="宋体"/>
                <w:color w:val="auto"/>
                <w:lang w:val="en-US" w:eastAsia="zh-CN"/>
              </w:rPr>
            </w:pPr>
            <w:r>
              <w:rPr>
                <w:rFonts w:hint="eastAsia" w:eastAsia="宋体" w:cs="宋体"/>
                <w:color w:val="auto"/>
                <w:lang w:val="en-US" w:eastAsia="zh-CN"/>
              </w:rPr>
              <w:t>何诺怡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电 </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话：</w:t>
            </w:r>
          </w:p>
        </w:tc>
        <w:tc>
          <w:tcPr>
            <w:tcW w:w="3859"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Autospacing="0" w:afterAutospacing="0" w:line="36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bCs/>
                <w:sz w:val="21"/>
                <w:szCs w:val="21"/>
                <w:lang w:bidi="ar"/>
              </w:rPr>
              <w:t>13925311219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eastAsia" w:ascii="宋体" w:hAnsi="宋体" w:cs="宋体"/>
                <w:color w:val="auto"/>
                <w:sz w:val="21"/>
                <w:szCs w:val="21"/>
              </w:rPr>
            </w:pPr>
            <w:r>
              <w:rPr>
                <w:rFonts w:hint="eastAsia" w:ascii="宋体" w:hAnsi="宋体" w:cs="宋体"/>
                <w:color w:val="auto"/>
                <w:sz w:val="21"/>
                <w:szCs w:val="21"/>
              </w:rPr>
              <w:t xml:space="preserve">电 </w:t>
            </w:r>
            <w:r>
              <w:rPr>
                <w:rFonts w:ascii="宋体" w:hAnsi="宋体" w:cs="宋体"/>
                <w:color w:val="auto"/>
                <w:sz w:val="21"/>
                <w:szCs w:val="21"/>
              </w:rPr>
              <w:t xml:space="preserve"> </w:t>
            </w:r>
            <w:r>
              <w:rPr>
                <w:rFonts w:hint="eastAsia" w:ascii="宋体" w:hAnsi="宋体" w:cs="宋体"/>
                <w:color w:val="auto"/>
                <w:sz w:val="21"/>
                <w:szCs w:val="21"/>
              </w:rPr>
              <w:t>话：</w:t>
            </w:r>
          </w:p>
        </w:tc>
        <w:tc>
          <w:tcPr>
            <w:tcW w:w="3712" w:type="dxa"/>
            <w:tcBorders>
              <w:top w:val="single" w:color="auto" w:sz="4" w:space="0"/>
              <w:left w:val="single" w:color="auto" w:sz="4" w:space="0"/>
              <w:bottom w:val="single" w:color="auto" w:sz="4" w:space="0"/>
              <w:right w:val="single" w:color="auto" w:sz="4" w:space="0"/>
            </w:tcBorders>
            <w:noWrap w:val="0"/>
            <w:vAlign w:val="center"/>
          </w:tcPr>
          <w:p>
            <w:pPr>
              <w:pStyle w:val="9"/>
              <w:pageBreakBefore w:val="0"/>
              <w:widowControl/>
              <w:kinsoku/>
              <w:wordWrap/>
              <w:overflowPunct/>
              <w:topLinePunct w:val="0"/>
              <w:autoSpaceDE/>
              <w:autoSpaceDN/>
              <w:bidi w:val="0"/>
              <w:adjustRightInd/>
              <w:snapToGrid/>
              <w:spacing w:before="0" w:beforeAutospacing="0" w:after="0" w:afterAutospacing="0" w:line="288" w:lineRule="auto"/>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0760-22138626</w:t>
            </w:r>
          </w:p>
        </w:tc>
      </w:tr>
    </w:tbl>
    <w:p>
      <w:pPr>
        <w:spacing w:line="360" w:lineRule="auto"/>
        <w:ind w:right="480"/>
        <w:jc w:val="right"/>
        <w:rPr>
          <w:rFonts w:ascii="宋体" w:hAnsi="宋体"/>
          <w:szCs w:val="21"/>
        </w:rPr>
      </w:pPr>
      <w:r>
        <w:rPr>
          <w:rFonts w:hint="eastAsia" w:ascii="宋体" w:hAnsi="宋体"/>
          <w:szCs w:val="21"/>
        </w:rPr>
        <w:t>中山市小榄镇</w:t>
      </w:r>
      <w:r>
        <w:rPr>
          <w:rFonts w:hint="eastAsia" w:ascii="宋体" w:hAnsi="宋体"/>
          <w:szCs w:val="21"/>
          <w:lang w:eastAsia="zh-CN"/>
        </w:rPr>
        <w:t>盛丰</w:t>
      </w:r>
      <w:r>
        <w:rPr>
          <w:rFonts w:hint="eastAsia" w:ascii="宋体" w:hAnsi="宋体"/>
          <w:szCs w:val="21"/>
        </w:rPr>
        <w:t>股份合作经济联合社</w:t>
      </w:r>
    </w:p>
    <w:p>
      <w:pPr>
        <w:spacing w:line="360" w:lineRule="auto"/>
        <w:ind w:right="480" w:firstLine="6720" w:firstLineChars="3200"/>
        <w:rPr>
          <w:szCs w:val="32"/>
        </w:rPr>
      </w:pPr>
      <w:r>
        <w:rPr>
          <w:rFonts w:hint="eastAsia" w:ascii="宋体" w:hAnsi="宋体" w:cs="宋体"/>
          <w:szCs w:val="21"/>
        </w:rPr>
        <w:t>202</w:t>
      </w:r>
      <w:r>
        <w:rPr>
          <w:rFonts w:hint="eastAsia" w:ascii="宋体" w:hAnsi="宋体" w:cs="宋体"/>
          <w:szCs w:val="21"/>
          <w:lang w:val="en-US" w:eastAsia="zh-CN"/>
        </w:rPr>
        <w:t>3</w:t>
      </w:r>
      <w:r>
        <w:rPr>
          <w:rFonts w:hint="eastAsia" w:ascii="宋体" w:hAnsi="宋体" w:cs="宋体"/>
          <w:szCs w:val="21"/>
        </w:rPr>
        <w:t>年</w:t>
      </w:r>
      <w:r>
        <w:rPr>
          <w:rFonts w:hint="eastAsia" w:ascii="宋体" w:hAnsi="宋体" w:cs="宋体"/>
          <w:szCs w:val="21"/>
          <w:lang w:val="en-US" w:eastAsia="zh-CN"/>
        </w:rPr>
        <w:t>5</w:t>
      </w:r>
      <w:r>
        <w:rPr>
          <w:rFonts w:hint="eastAsia" w:ascii="宋体" w:hAnsi="宋体" w:cs="宋体"/>
          <w:szCs w:val="21"/>
        </w:rPr>
        <w:t>月</w:t>
      </w:r>
      <w:bookmarkEnd w:id="4"/>
      <w:bookmarkEnd w:id="5"/>
      <w:r>
        <w:rPr>
          <w:rFonts w:hint="eastAsia" w:ascii="宋体" w:hAnsi="宋体" w:cs="宋体"/>
          <w:color w:val="0000FF"/>
          <w:szCs w:val="21"/>
          <w:lang w:val="en-US" w:eastAsia="zh-CN"/>
        </w:rPr>
        <w:t>28</w:t>
      </w:r>
      <w:r>
        <w:rPr>
          <w:rFonts w:hint="eastAsia" w:ascii="宋体" w:hAnsi="宋体" w:cs="宋体"/>
          <w:szCs w:val="21"/>
        </w:rPr>
        <w:t>日</w:t>
      </w:r>
      <w:bookmarkStart w:id="6" w:name="_Toc184635070"/>
      <w:bookmarkStart w:id="7" w:name="_Toc427572484"/>
      <w:bookmarkStart w:id="8" w:name="_Toc398537309"/>
      <w:bookmarkStart w:id="9" w:name="_Toc381691730"/>
      <w:bookmarkStart w:id="10" w:name="_Toc477771262"/>
    </w:p>
    <w:p>
      <w:pPr>
        <w:rPr>
          <w:rFonts w:hint="eastAsia"/>
          <w:szCs w:val="32"/>
        </w:rPr>
      </w:pPr>
      <w:r>
        <w:rPr>
          <w:rFonts w:hint="eastAsia"/>
          <w:szCs w:val="32"/>
        </w:rPr>
        <w:br w:type="page"/>
      </w:r>
    </w:p>
    <w:p>
      <w:pPr>
        <w:pStyle w:val="3"/>
        <w:jc w:val="center"/>
        <w:rPr>
          <w:szCs w:val="24"/>
        </w:rPr>
      </w:pPr>
      <w:r>
        <w:rPr>
          <w:rFonts w:hint="eastAsia"/>
          <w:szCs w:val="32"/>
        </w:rPr>
        <w:t>第二章 竞投单位须知</w:t>
      </w:r>
    </w:p>
    <w:p>
      <w:pPr>
        <w:pStyle w:val="4"/>
        <w:jc w:val="center"/>
        <w:rPr>
          <w:szCs w:val="24"/>
        </w:rPr>
      </w:pPr>
      <w:r>
        <w:rPr>
          <w:rFonts w:hint="eastAsia"/>
          <w:szCs w:val="24"/>
        </w:rPr>
        <w:t>竞投单位须知前附表</w:t>
      </w:r>
      <w:bookmarkEnd w:id="6"/>
      <w:bookmarkEnd w:id="7"/>
      <w:bookmarkEnd w:id="8"/>
      <w:bookmarkEnd w:id="9"/>
      <w:bookmarkEnd w:id="10"/>
    </w:p>
    <w:tbl>
      <w:tblPr>
        <w:tblStyle w:val="11"/>
        <w:tblW w:w="990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877"/>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70" w:type="dxa"/>
            <w:vAlign w:val="center"/>
          </w:tcPr>
          <w:p>
            <w:pPr>
              <w:spacing w:line="288" w:lineRule="auto"/>
              <w:jc w:val="center"/>
              <w:rPr>
                <w:rFonts w:ascii="宋体" w:hAnsi="宋体" w:cs="宋体"/>
                <w:b/>
                <w:szCs w:val="21"/>
              </w:rPr>
            </w:pPr>
            <w:r>
              <w:rPr>
                <w:rFonts w:hint="eastAsia" w:ascii="宋体" w:hAnsi="宋体" w:cs="宋体"/>
                <w:b/>
                <w:szCs w:val="21"/>
              </w:rPr>
              <w:t>条款号</w:t>
            </w:r>
          </w:p>
        </w:tc>
        <w:tc>
          <w:tcPr>
            <w:tcW w:w="3877" w:type="dxa"/>
            <w:vAlign w:val="center"/>
          </w:tcPr>
          <w:p>
            <w:pPr>
              <w:spacing w:line="288" w:lineRule="auto"/>
              <w:jc w:val="center"/>
              <w:rPr>
                <w:rFonts w:ascii="宋体" w:hAnsi="宋体" w:cs="宋体"/>
                <w:b/>
                <w:szCs w:val="21"/>
              </w:rPr>
            </w:pPr>
            <w:r>
              <w:rPr>
                <w:rFonts w:hint="eastAsia" w:ascii="宋体" w:hAnsi="宋体" w:cs="宋体"/>
                <w:b/>
                <w:szCs w:val="21"/>
              </w:rPr>
              <w:t>条 款 名 称</w:t>
            </w:r>
          </w:p>
        </w:tc>
        <w:tc>
          <w:tcPr>
            <w:tcW w:w="5153" w:type="dxa"/>
            <w:vAlign w:val="center"/>
          </w:tcPr>
          <w:p>
            <w:pPr>
              <w:spacing w:line="288" w:lineRule="auto"/>
              <w:jc w:val="center"/>
              <w:rPr>
                <w:rFonts w:ascii="宋体" w:hAnsi="宋体" w:cs="宋体"/>
                <w:b/>
                <w:szCs w:val="21"/>
              </w:rPr>
            </w:pPr>
            <w:r>
              <w:rPr>
                <w:rFonts w:hint="eastAsia" w:ascii="宋体" w:hAnsi="宋体" w:cs="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1.1.1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建设单位（项目需求单位）</w:t>
            </w:r>
          </w:p>
        </w:tc>
        <w:tc>
          <w:tcPr>
            <w:tcW w:w="5153" w:type="dxa"/>
            <w:vAlign w:val="center"/>
          </w:tcPr>
          <w:p>
            <w:pPr>
              <w:spacing w:line="288" w:lineRule="auto"/>
              <w:rPr>
                <w:rFonts w:hint="eastAsia" w:ascii="宋体" w:hAnsi="宋体"/>
                <w:szCs w:val="21"/>
              </w:rPr>
            </w:pPr>
            <w:r>
              <w:rPr>
                <w:rFonts w:hint="eastAsia" w:ascii="宋体" w:hAnsi="宋体"/>
                <w:szCs w:val="21"/>
              </w:rPr>
              <w:t>名  称：中山市小榄镇</w:t>
            </w:r>
            <w:r>
              <w:rPr>
                <w:rFonts w:hint="eastAsia" w:ascii="宋体" w:hAnsi="宋体"/>
                <w:szCs w:val="21"/>
                <w:lang w:val="en-US" w:eastAsia="zh-CN"/>
              </w:rPr>
              <w:t>盛丰</w:t>
            </w:r>
            <w:r>
              <w:rPr>
                <w:rFonts w:hint="eastAsia" w:ascii="宋体" w:hAnsi="宋体"/>
                <w:szCs w:val="21"/>
              </w:rPr>
              <w:t>股份合作经济联合社</w:t>
            </w:r>
          </w:p>
          <w:p>
            <w:pPr>
              <w:spacing w:line="288" w:lineRule="auto"/>
              <w:jc w:val="left"/>
              <w:rPr>
                <w:rFonts w:hint="eastAsia" w:ascii="宋体" w:hAnsi="宋体"/>
                <w:szCs w:val="21"/>
              </w:rPr>
            </w:pPr>
            <w:r>
              <w:rPr>
                <w:rFonts w:hint="eastAsia" w:ascii="宋体" w:hAnsi="宋体"/>
                <w:szCs w:val="21"/>
              </w:rPr>
              <w:t>地  址：</w:t>
            </w:r>
            <w:r>
              <w:rPr>
                <w:rFonts w:hint="eastAsia" w:asciiTheme="minorEastAsia" w:hAnsiTheme="minorEastAsia" w:eastAsiaTheme="minorEastAsia" w:cstheme="minorEastAsia"/>
                <w:szCs w:val="21"/>
                <w:u w:val="none"/>
                <w:shd w:val="clear" w:color="auto" w:fill="FFFFFF"/>
              </w:rPr>
              <w:t>中山市</w:t>
            </w:r>
            <w:r>
              <w:rPr>
                <w:rFonts w:hint="eastAsia" w:asciiTheme="minorEastAsia" w:hAnsiTheme="minorEastAsia" w:eastAsiaTheme="minorEastAsia" w:cstheme="minorEastAsia"/>
                <w:szCs w:val="21"/>
                <w:u w:val="none"/>
                <w:shd w:val="clear" w:color="auto" w:fill="FFFFFF"/>
                <w:lang w:eastAsia="zh-CN"/>
              </w:rPr>
              <w:t>小榄镇</w:t>
            </w:r>
            <w:r>
              <w:rPr>
                <w:rFonts w:hint="eastAsia" w:asciiTheme="minorEastAsia" w:hAnsiTheme="minorEastAsia" w:eastAsiaTheme="minorEastAsia" w:cstheme="minorEastAsia"/>
                <w:szCs w:val="21"/>
                <w:u w:val="none"/>
                <w:shd w:val="clear" w:color="auto" w:fill="FFFFFF"/>
              </w:rPr>
              <w:t>东宝南路</w:t>
            </w:r>
            <w:r>
              <w:rPr>
                <w:rFonts w:hint="eastAsia" w:asciiTheme="minorEastAsia" w:hAnsiTheme="minorEastAsia" w:cstheme="minorEastAsia"/>
                <w:szCs w:val="21"/>
                <w:u w:val="none"/>
                <w:shd w:val="clear" w:color="auto" w:fill="FFFFFF"/>
                <w:lang w:val="en-US" w:eastAsia="zh-CN"/>
              </w:rPr>
              <w:t>1</w:t>
            </w:r>
            <w:r>
              <w:rPr>
                <w:rFonts w:hint="eastAsia" w:asciiTheme="minorEastAsia" w:hAnsiTheme="minorEastAsia" w:eastAsiaTheme="minorEastAsia" w:cstheme="minorEastAsia"/>
                <w:szCs w:val="21"/>
                <w:u w:val="none"/>
                <w:shd w:val="clear" w:color="auto" w:fill="FFFFFF"/>
              </w:rPr>
              <w:t>号</w:t>
            </w:r>
            <w:r>
              <w:rPr>
                <w:rFonts w:hint="eastAsia"/>
                <w:szCs w:val="21"/>
              </w:rPr>
              <w:t xml:space="preserve"> </w:t>
            </w:r>
          </w:p>
          <w:p>
            <w:pPr>
              <w:spacing w:line="288" w:lineRule="auto"/>
              <w:rPr>
                <w:rFonts w:hint="eastAsia" w:ascii="宋体" w:hAnsi="宋体"/>
                <w:szCs w:val="21"/>
              </w:rPr>
            </w:pPr>
            <w:r>
              <w:rPr>
                <w:rFonts w:hint="eastAsia" w:ascii="宋体" w:hAnsi="宋体"/>
                <w:szCs w:val="21"/>
              </w:rPr>
              <w:t>联系人：</w:t>
            </w:r>
            <w:r>
              <w:rPr>
                <w:rFonts w:hint="eastAsia"/>
                <w:szCs w:val="21"/>
                <w:lang w:val="en-US" w:eastAsia="zh-CN"/>
              </w:rPr>
              <w:t>李志标</w:t>
            </w:r>
          </w:p>
          <w:p>
            <w:pPr>
              <w:snapToGrid w:val="0"/>
              <w:spacing w:line="360" w:lineRule="auto"/>
              <w:rPr>
                <w:rFonts w:ascii="宋体" w:hAnsi="宋体" w:cs="宋体"/>
                <w:szCs w:val="21"/>
                <w:u w:val="single"/>
              </w:rPr>
            </w:pPr>
            <w:r>
              <w:rPr>
                <w:rFonts w:hint="eastAsia" w:ascii="宋体" w:hAnsi="宋体"/>
                <w:szCs w:val="21"/>
              </w:rPr>
              <w:t>电  话：</w:t>
            </w:r>
            <w:r>
              <w:rPr>
                <w:rFonts w:hint="eastAsia" w:ascii="宋体" w:hAnsi="宋体"/>
                <w:szCs w:val="21"/>
                <w:lang w:val="en-US" w:eastAsia="zh-CN"/>
              </w:rPr>
              <w:t>13925311219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1.1.2</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代理单位</w:t>
            </w:r>
          </w:p>
        </w:tc>
        <w:tc>
          <w:tcPr>
            <w:tcW w:w="5153" w:type="dxa"/>
            <w:vAlign w:val="center"/>
          </w:tcPr>
          <w:p>
            <w:pPr>
              <w:snapToGrid w:val="0"/>
              <w:spacing w:line="288" w:lineRule="auto"/>
              <w:rPr>
                <w:rFonts w:ascii="Arial" w:hAnsi="Arial"/>
                <w:color w:val="000000"/>
                <w:szCs w:val="21"/>
              </w:rPr>
            </w:pPr>
            <w:r>
              <w:rPr>
                <w:rFonts w:hint="eastAsia" w:ascii="Arial" w:hAnsi="Arial"/>
                <w:color w:val="000000"/>
                <w:szCs w:val="21"/>
              </w:rPr>
              <w:t>名  称：广东皓盈工程管理咨询有限公司</w:t>
            </w:r>
          </w:p>
          <w:p>
            <w:pPr>
              <w:pStyle w:val="16"/>
              <w:spacing w:line="288" w:lineRule="auto"/>
              <w:ind w:left="764" w:hanging="764" w:hangingChars="364"/>
              <w:rPr>
                <w:rFonts w:hint="eastAsia" w:eastAsiaTheme="minorEastAsia"/>
                <w:lang w:eastAsia="zh-CN"/>
              </w:rPr>
            </w:pPr>
            <w:r>
              <w:rPr>
                <w:rFonts w:hint="eastAsia"/>
              </w:rPr>
              <w:t>地  址</w:t>
            </w:r>
            <w:r>
              <w:rPr>
                <w:rFonts w:hint="eastAsia" w:ascii="Arial" w:hAnsi="Arial"/>
              </w:rPr>
              <w:t>：</w:t>
            </w:r>
            <w:r>
              <w:rPr>
                <w:rFonts w:hint="eastAsia"/>
                <w:lang w:eastAsia="zh-CN"/>
              </w:rPr>
              <w:t>中山市小榄镇龙山路6号4楼</w:t>
            </w:r>
          </w:p>
          <w:p>
            <w:pPr>
              <w:pStyle w:val="16"/>
              <w:spacing w:line="288" w:lineRule="auto"/>
              <w:rPr>
                <w:rFonts w:hint="eastAsia" w:eastAsiaTheme="minorEastAsia"/>
                <w:lang w:eastAsia="zh-CN"/>
              </w:rPr>
            </w:pPr>
            <w:r>
              <w:rPr>
                <w:rFonts w:hint="eastAsia"/>
              </w:rPr>
              <w:t>联系人：</w:t>
            </w:r>
            <w:r>
              <w:rPr>
                <w:rFonts w:hint="eastAsia"/>
                <w:lang w:eastAsia="zh-CN"/>
              </w:rPr>
              <w:t>何诺怡</w:t>
            </w:r>
          </w:p>
          <w:p>
            <w:pPr>
              <w:spacing w:line="288" w:lineRule="auto"/>
              <w:rPr>
                <w:rFonts w:hint="default" w:ascii="宋体" w:hAnsi="宋体" w:cs="宋体" w:eastAsiaTheme="minorEastAsia"/>
                <w:szCs w:val="21"/>
                <w:lang w:val="en-US" w:eastAsia="zh-CN"/>
              </w:rPr>
            </w:pPr>
            <w:r>
              <w:rPr>
                <w:rFonts w:hint="eastAsia"/>
              </w:rPr>
              <w:t>电  话：</w:t>
            </w:r>
            <w:r>
              <w:rPr>
                <w:rFonts w:hint="eastAsia" w:ascii="宋体" w:hAnsi="宋体"/>
                <w:color w:val="000000"/>
                <w:szCs w:val="21"/>
                <w:lang w:val="en-US" w:eastAsia="zh-CN"/>
              </w:rPr>
              <w:t>0760-22138626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1.1.3</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项目名称</w:t>
            </w:r>
          </w:p>
        </w:tc>
        <w:tc>
          <w:tcPr>
            <w:tcW w:w="5153" w:type="dxa"/>
            <w:vAlign w:val="center"/>
          </w:tcPr>
          <w:p>
            <w:pPr>
              <w:spacing w:line="288" w:lineRule="auto"/>
              <w:rPr>
                <w:rFonts w:hint="eastAsia" w:ascii="宋体" w:hAnsi="宋体" w:cs="宋体" w:eastAsiaTheme="minorEastAsia"/>
                <w:szCs w:val="21"/>
                <w:u w:val="single"/>
                <w:lang w:eastAsia="zh-CN"/>
              </w:rPr>
            </w:pPr>
            <w:r>
              <w:rPr>
                <w:rFonts w:hint="eastAsia" w:ascii="宋体" w:hAnsi="宋体" w:cs="宋体"/>
                <w:szCs w:val="21"/>
                <w:lang w:eastAsia="zh-CN"/>
              </w:rPr>
              <w:t>祥益东路12号厂区-厂房二工程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1.1.4</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建设地点</w:t>
            </w:r>
          </w:p>
        </w:tc>
        <w:tc>
          <w:tcPr>
            <w:tcW w:w="5153" w:type="dxa"/>
            <w:vAlign w:val="center"/>
          </w:tcPr>
          <w:p>
            <w:pPr>
              <w:spacing w:line="288" w:lineRule="auto"/>
              <w:rPr>
                <w:rFonts w:ascii="宋体" w:hAnsi="宋体" w:cs="宋体"/>
                <w:szCs w:val="21"/>
              </w:rPr>
            </w:pPr>
            <w:r>
              <w:rPr>
                <w:rFonts w:hint="eastAsia" w:ascii="宋体" w:hAnsi="宋体"/>
                <w:szCs w:val="21"/>
              </w:rPr>
              <w:t>中山市小榄镇</w:t>
            </w:r>
            <w:r>
              <w:rPr>
                <w:rFonts w:hint="eastAsia" w:ascii="宋体" w:hAnsi="宋体"/>
                <w:szCs w:val="21"/>
                <w:lang w:eastAsia="zh-CN"/>
              </w:rPr>
              <w:t>盛丰</w:t>
            </w:r>
            <w:r>
              <w:rPr>
                <w:rFonts w:hint="eastAsia" w:ascii="宋体" w:hAnsi="宋体"/>
                <w:szCs w:val="21"/>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1.2.1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资金来源</w:t>
            </w:r>
          </w:p>
        </w:tc>
        <w:tc>
          <w:tcPr>
            <w:tcW w:w="5153" w:type="dxa"/>
            <w:vAlign w:val="center"/>
          </w:tcPr>
          <w:p>
            <w:pPr>
              <w:spacing w:line="288" w:lineRule="auto"/>
              <w:rPr>
                <w:rFonts w:ascii="宋体" w:hAnsi="宋体" w:cs="宋体"/>
                <w:szCs w:val="21"/>
              </w:rPr>
            </w:pPr>
            <w:r>
              <w:rPr>
                <w:rFonts w:hint="eastAsia" w:ascii="宋体" w:hAnsi="宋体" w:cs="宋体"/>
                <w:szCs w:val="21"/>
              </w:rPr>
              <w:t>集体自筹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1.2.2</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出资比例</w:t>
            </w:r>
          </w:p>
        </w:tc>
        <w:tc>
          <w:tcPr>
            <w:tcW w:w="5153" w:type="dxa"/>
            <w:vAlign w:val="center"/>
          </w:tcPr>
          <w:p>
            <w:pPr>
              <w:spacing w:line="288" w:lineRule="auto"/>
              <w:rPr>
                <w:rFonts w:ascii="宋体" w:hAnsi="宋体" w:cs="宋体"/>
                <w:szCs w:val="21"/>
              </w:rPr>
            </w:pP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1.2.3</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资金落实情况</w:t>
            </w:r>
          </w:p>
        </w:tc>
        <w:tc>
          <w:tcPr>
            <w:tcW w:w="5153" w:type="dxa"/>
            <w:vAlign w:val="center"/>
          </w:tcPr>
          <w:p>
            <w:pPr>
              <w:spacing w:line="288" w:lineRule="auto"/>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1.3.1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竞投范围</w:t>
            </w:r>
          </w:p>
        </w:tc>
        <w:tc>
          <w:tcPr>
            <w:tcW w:w="5153" w:type="dxa"/>
            <w:vAlign w:val="center"/>
          </w:tcPr>
          <w:p>
            <w:pPr>
              <w:spacing w:line="360" w:lineRule="auto"/>
              <w:ind w:firstLine="420" w:firstLineChars="200"/>
              <w:rPr>
                <w:rFonts w:ascii="宋体" w:hAnsi="宋体" w:cs="宋体" w:eastAsiaTheme="minorEastAsia"/>
                <w:spacing w:val="0"/>
                <w:sz w:val="21"/>
                <w:szCs w:val="21"/>
                <w:shd w:val="clear" w:color="auto" w:fill="FFFFFF" w:themeFill="background1"/>
              </w:rPr>
            </w:pPr>
            <w:r>
              <w:rPr>
                <w:rFonts w:hint="eastAsia" w:ascii="宋体" w:hAnsi="宋体" w:cs="宋体" w:eastAsiaTheme="minorEastAsia"/>
                <w:spacing w:val="0"/>
                <w:sz w:val="21"/>
                <w:szCs w:val="21"/>
                <w:shd w:val="clear" w:color="auto" w:fill="FFFFFF" w:themeFill="background1"/>
              </w:rPr>
              <w:t>本工程竞投范围包括土建主体混凝土框架结构、土建装修工程、消防给排水工程、电气防雷工程、室外市政给排水工程等</w:t>
            </w:r>
            <w:r>
              <w:rPr>
                <w:rFonts w:hint="eastAsia" w:ascii="宋体" w:hAnsi="宋体" w:eastAsiaTheme="minorEastAsia"/>
                <w:spacing w:val="0"/>
                <w:sz w:val="21"/>
                <w:szCs w:val="21"/>
                <w:shd w:val="clear" w:color="auto" w:fill="FFFFFF" w:themeFill="background1"/>
              </w:rPr>
              <w:t>相关工程</w:t>
            </w:r>
            <w:r>
              <w:rPr>
                <w:rFonts w:hint="eastAsia" w:ascii="宋体" w:hAnsi="宋体" w:eastAsiaTheme="minorEastAsia"/>
                <w:spacing w:val="0"/>
                <w:sz w:val="21"/>
                <w:szCs w:val="21"/>
              </w:rPr>
              <w:t>。本工程</w:t>
            </w:r>
            <w:r>
              <w:rPr>
                <w:rFonts w:hint="eastAsia" w:ascii="宋体" w:hAnsi="宋体" w:cs="宋体" w:eastAsiaTheme="minorEastAsia"/>
                <w:spacing w:val="0"/>
                <w:sz w:val="21"/>
                <w:szCs w:val="21"/>
              </w:rPr>
              <w:t>建设单位（项目需求单位）</w:t>
            </w:r>
            <w:r>
              <w:rPr>
                <w:rFonts w:hint="eastAsia" w:ascii="宋体" w:hAnsi="宋体" w:eastAsiaTheme="minorEastAsia"/>
                <w:spacing w:val="0"/>
                <w:sz w:val="21"/>
                <w:szCs w:val="21"/>
              </w:rPr>
              <w:t>提供的设计方案及固定总价包干方式承包，固定总价包含：包含人工费、材料费、机械费、管理费、运输费、措施费、赶工费、不可预见“风险费”、规费、利润、税费、保险费、验收、报建、包括政府有关主管部门验收收费以及其它与本工程有关的一切费用，并包含按现行的国家验收规范规定的测桩费用（达到桩基础检测规范要求）、基坑监测费用、室内环境检测与实体检测及费用、防雷报审验收及相关费用、消防报审验收及相关费用（含开消防总表的费用）、防白蚁报审验收及相关费用等所有材料的检测费用均由中选单位承担。</w:t>
            </w:r>
            <w:r>
              <w:rPr>
                <w:rFonts w:hint="eastAsia" w:eastAsiaTheme="minorEastAsia"/>
                <w:spacing w:val="0"/>
                <w:sz w:val="21"/>
                <w:szCs w:val="21"/>
              </w:rPr>
              <w:t>中介工程量清单若有漏项，竞投单位必须在答疑时提出，否则由竞投单位负责，设计图纸如存在问题，在竞投单位提出后由设计单位补图并由中介调整工程量清单。</w:t>
            </w:r>
          </w:p>
          <w:p>
            <w:pPr>
              <w:spacing w:line="360" w:lineRule="auto"/>
              <w:ind w:firstLine="420" w:firstLineChars="200"/>
              <w:rPr>
                <w:rFonts w:ascii="宋体" w:hAnsi="宋体" w:cs="宋体"/>
              </w:rPr>
            </w:pPr>
            <w:r>
              <w:rPr>
                <w:rFonts w:hint="eastAsia" w:ascii="宋体" w:hAnsi="宋体" w:cs="宋体" w:eastAsiaTheme="minorEastAsia"/>
                <w:color w:val="000000"/>
                <w:spacing w:val="0"/>
                <w:sz w:val="21"/>
                <w:szCs w:val="21"/>
              </w:rPr>
              <w:t>未经</w:t>
            </w:r>
            <w:r>
              <w:rPr>
                <w:rFonts w:hint="eastAsia" w:ascii="宋体" w:hAnsi="宋体" w:cs="宋体" w:eastAsiaTheme="minorEastAsia"/>
                <w:b/>
                <w:bCs/>
                <w:spacing w:val="0"/>
                <w:sz w:val="21"/>
                <w:szCs w:val="21"/>
              </w:rPr>
              <w:t>项目需求单位</w:t>
            </w:r>
            <w:r>
              <w:rPr>
                <w:rFonts w:hint="eastAsia" w:ascii="宋体" w:hAnsi="宋体" w:cs="宋体" w:eastAsiaTheme="minorEastAsia"/>
                <w:color w:val="000000"/>
                <w:spacing w:val="0"/>
                <w:sz w:val="21"/>
                <w:szCs w:val="21"/>
              </w:rPr>
              <w:t>同意，中选单位不得以任何方式转包或分包本项目</w:t>
            </w:r>
            <w:r>
              <w:rPr>
                <w:rFonts w:hint="eastAsia" w:ascii="宋体" w:hAnsi="宋体" w:cs="宋体" w:eastAsiaTheme="minorEastAsia"/>
                <w:spacing w:val="0"/>
                <w:sz w:val="21"/>
                <w:szCs w:val="21"/>
              </w:rPr>
              <w:t>）。具体内容以建设单位（项目需求单位）提供的工程施工图及补充图纸、需求书、中介预算、答疑文件、工程量清单及相关的资料为准。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1.3.2</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计划工期</w:t>
            </w:r>
          </w:p>
        </w:tc>
        <w:tc>
          <w:tcPr>
            <w:tcW w:w="5153" w:type="dxa"/>
            <w:vAlign w:val="center"/>
          </w:tcPr>
          <w:p>
            <w:pPr>
              <w:spacing w:line="288" w:lineRule="auto"/>
              <w:rPr>
                <w:rFonts w:ascii="宋体" w:hAnsi="宋体" w:cs="宋体"/>
                <w:szCs w:val="21"/>
              </w:rPr>
            </w:pPr>
            <w:r>
              <w:rPr>
                <w:rFonts w:hint="eastAsia" w:ascii="宋体" w:hAnsi="宋体" w:cs="宋体"/>
                <w:szCs w:val="21"/>
              </w:rPr>
              <w:t>计划工期：</w:t>
            </w:r>
            <w:r>
              <w:rPr>
                <w:rFonts w:hint="eastAsia" w:ascii="宋体" w:hAnsi="宋体" w:cs="宋体"/>
                <w:szCs w:val="21"/>
                <w:u w:val="single"/>
                <w:lang w:val="en-US" w:eastAsia="zh-CN"/>
              </w:rPr>
              <w:t>365</w:t>
            </w:r>
            <w:r>
              <w:rPr>
                <w:rFonts w:hint="eastAsia" w:ascii="宋体" w:hAnsi="宋体" w:cs="宋体"/>
                <w:szCs w:val="21"/>
              </w:rPr>
              <w:t>日历天（由建设单位及监理单位发出开工令当日算起,含法定假期及其他休息日）</w:t>
            </w:r>
          </w:p>
          <w:p>
            <w:pPr>
              <w:spacing w:line="288" w:lineRule="auto"/>
              <w:rPr>
                <w:rFonts w:ascii="宋体" w:hAnsi="宋体" w:cs="宋体"/>
                <w:szCs w:val="21"/>
              </w:rPr>
            </w:pPr>
            <w:r>
              <w:rPr>
                <w:rFonts w:hint="eastAsia" w:ascii="宋体" w:hAnsi="宋体" w:cs="宋体"/>
                <w:szCs w:val="21"/>
              </w:rPr>
              <w:t>计划开工日期：</w:t>
            </w:r>
            <w:r>
              <w:rPr>
                <w:rFonts w:hint="eastAsia" w:ascii="宋体" w:hAnsi="宋体" w:cs="宋体"/>
                <w:szCs w:val="21"/>
                <w:u w:val="single"/>
              </w:rPr>
              <w:t>2023</w:t>
            </w:r>
            <w:r>
              <w:rPr>
                <w:rFonts w:hint="eastAsia" w:ascii="宋体" w:hAnsi="宋体" w:cs="宋体"/>
                <w:szCs w:val="21"/>
                <w:u w:val="none"/>
              </w:rPr>
              <w:t>年</w:t>
            </w:r>
            <w:r>
              <w:rPr>
                <w:rFonts w:hint="eastAsia" w:ascii="宋体" w:hAnsi="宋体" w:cs="宋体"/>
                <w:szCs w:val="21"/>
                <w:u w:val="single"/>
                <w:lang w:val="en-US" w:eastAsia="zh-CN"/>
              </w:rPr>
              <w:t>9</w:t>
            </w:r>
            <w:r>
              <w:rPr>
                <w:rFonts w:hint="eastAsia" w:ascii="宋体" w:hAnsi="宋体" w:cs="宋体"/>
                <w:szCs w:val="21"/>
                <w:u w:val="none"/>
              </w:rPr>
              <w:t>月</w:t>
            </w:r>
            <w:r>
              <w:rPr>
                <w:rFonts w:hint="eastAsia" w:ascii="宋体" w:hAnsi="宋体" w:cs="宋体"/>
                <w:szCs w:val="21"/>
                <w:u w:val="single"/>
                <w:lang w:val="en-US" w:eastAsia="zh-CN"/>
              </w:rPr>
              <w:t>1</w:t>
            </w:r>
            <w:r>
              <w:rPr>
                <w:rFonts w:hint="eastAsia" w:ascii="宋体" w:hAnsi="宋体" w:cs="宋体"/>
                <w:szCs w:val="21"/>
                <w:u w:val="none"/>
              </w:rPr>
              <w:t>日</w:t>
            </w:r>
          </w:p>
          <w:p>
            <w:pPr>
              <w:spacing w:line="288" w:lineRule="auto"/>
              <w:rPr>
                <w:rFonts w:ascii="宋体" w:hAnsi="宋体" w:cs="宋体"/>
                <w:szCs w:val="21"/>
              </w:rPr>
            </w:pPr>
            <w:r>
              <w:rPr>
                <w:rFonts w:hint="eastAsia" w:ascii="宋体" w:hAnsi="宋体" w:cs="宋体"/>
                <w:szCs w:val="21"/>
              </w:rPr>
              <w:t>计划竣工日期：</w:t>
            </w:r>
            <w:r>
              <w:rPr>
                <w:rFonts w:hint="eastAsia" w:ascii="宋体" w:hAnsi="宋体" w:cs="宋体"/>
                <w:szCs w:val="21"/>
                <w:u w:val="single"/>
              </w:rPr>
              <w:t>202</w:t>
            </w:r>
            <w:r>
              <w:rPr>
                <w:rFonts w:hint="eastAsia" w:ascii="宋体" w:hAnsi="宋体" w:cs="宋体"/>
                <w:szCs w:val="21"/>
                <w:u w:val="single"/>
                <w:lang w:val="en-US" w:eastAsia="zh-CN"/>
              </w:rPr>
              <w:t>4</w:t>
            </w:r>
            <w:r>
              <w:rPr>
                <w:rFonts w:hint="eastAsia" w:ascii="宋体" w:hAnsi="宋体" w:cs="宋体"/>
                <w:szCs w:val="21"/>
                <w:u w:val="none"/>
              </w:rPr>
              <w:t>年</w:t>
            </w:r>
            <w:r>
              <w:rPr>
                <w:rFonts w:hint="eastAsia" w:ascii="宋体" w:hAnsi="宋体" w:cs="宋体"/>
                <w:szCs w:val="21"/>
                <w:u w:val="single"/>
                <w:lang w:val="en-US" w:eastAsia="zh-CN"/>
              </w:rPr>
              <w:t>8</w:t>
            </w:r>
            <w:r>
              <w:rPr>
                <w:rFonts w:hint="eastAsia" w:ascii="宋体" w:hAnsi="宋体" w:cs="宋体"/>
                <w:szCs w:val="21"/>
                <w:u w:val="none"/>
              </w:rPr>
              <w:t>月</w:t>
            </w:r>
            <w:r>
              <w:rPr>
                <w:rFonts w:hint="eastAsia" w:ascii="宋体" w:hAnsi="宋体" w:cs="宋体"/>
                <w:szCs w:val="21"/>
                <w:u w:val="single"/>
                <w:lang w:val="en-US" w:eastAsia="zh-CN"/>
              </w:rPr>
              <w:t>31</w:t>
            </w:r>
            <w:r>
              <w:rPr>
                <w:rFonts w:hint="eastAsia" w:ascii="宋体" w:hAnsi="宋体" w:cs="宋体"/>
                <w:szCs w:val="21"/>
                <w:u w:val="none"/>
              </w:rPr>
              <w:t>日</w:t>
            </w:r>
          </w:p>
          <w:p>
            <w:pPr>
              <w:spacing w:line="288" w:lineRule="auto"/>
              <w:rPr>
                <w:rFonts w:ascii="宋体" w:hAnsi="宋体" w:cs="宋体"/>
                <w:szCs w:val="21"/>
              </w:rPr>
            </w:pPr>
            <w:r>
              <w:rPr>
                <w:rFonts w:hint="eastAsia" w:ascii="宋体" w:hAnsi="宋体" w:cs="宋体"/>
                <w:szCs w:val="21"/>
              </w:rPr>
              <w:t>（因中选单位原因工期每延误一天扣</w:t>
            </w:r>
            <w:r>
              <w:rPr>
                <w:rFonts w:hint="eastAsia" w:ascii="宋体" w:hAnsi="宋体" w:cs="宋体"/>
                <w:b/>
                <w:szCs w:val="21"/>
                <w:u w:val="single"/>
              </w:rPr>
              <w:t>10000</w:t>
            </w:r>
            <w:r>
              <w:rPr>
                <w:rFonts w:hint="eastAsia" w:ascii="宋体" w:hAnsi="宋体" w:cs="宋体"/>
                <w:b/>
                <w:szCs w:val="21"/>
              </w:rPr>
              <w:t>元</w:t>
            </w:r>
            <w:r>
              <w:rPr>
                <w:rFonts w:hint="eastAsia" w:ascii="宋体" w:hAnsi="宋体" w:cs="宋体"/>
                <w:szCs w:val="21"/>
              </w:rPr>
              <w:t>的处罚，违约金总额以不超过合同价的10%为限。由于中选单位责任造成的拖延工期，中选单位还应支付因此所增加的监理费酬金。）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1.3.3</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质量要求</w:t>
            </w:r>
          </w:p>
        </w:tc>
        <w:tc>
          <w:tcPr>
            <w:tcW w:w="5153" w:type="dxa"/>
            <w:vAlign w:val="center"/>
          </w:tcPr>
          <w:p>
            <w:pPr>
              <w:spacing w:line="288" w:lineRule="auto"/>
              <w:jc w:val="center"/>
              <w:rPr>
                <w:rFonts w:ascii="宋体" w:hAnsi="宋体" w:cs="宋体"/>
                <w:szCs w:val="21"/>
              </w:rPr>
            </w:pPr>
            <w:r>
              <w:rPr>
                <w:rFonts w:hint="eastAsia" w:ascii="宋体" w:hAnsi="宋体" w:cs="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1.3.4</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安全文明施工要求</w:t>
            </w:r>
          </w:p>
        </w:tc>
        <w:tc>
          <w:tcPr>
            <w:tcW w:w="5153" w:type="dxa"/>
            <w:vAlign w:val="center"/>
          </w:tcPr>
          <w:p>
            <w:pPr>
              <w:spacing w:line="288" w:lineRule="auto"/>
              <w:ind w:firstLine="420" w:firstLineChars="200"/>
              <w:rPr>
                <w:rFonts w:ascii="宋体" w:hAnsi="宋体" w:cs="宋体"/>
                <w:b/>
                <w:szCs w:val="21"/>
              </w:rPr>
            </w:pPr>
            <w:r>
              <w:rPr>
                <w:rFonts w:hint="eastAsia" w:ascii="宋体" w:hAnsi="宋体" w:cs="宋体"/>
                <w:szCs w:val="21"/>
              </w:rPr>
              <w:t>保证施工期间杜绝死亡事件发生，切实做好安全生产各项防范措施，加强安全施工管理，按建设部颁发的《建筑施工安全检查标准JGJ59-2011》执行；</w:t>
            </w:r>
            <w:r>
              <w:rPr>
                <w:rFonts w:hint="eastAsia" w:ascii="宋体" w:hAnsi="宋体" w:cs="宋体"/>
                <w:b/>
                <w:szCs w:val="21"/>
              </w:rPr>
              <w:t>施工过程中若出现一般事故，接受按2007年6月1日起实施的《生产安全事故报告和调查处理条例》和《广东省住房和城乡建设厅建筑工程安全生产动态管理办法》进行处罚。</w:t>
            </w:r>
          </w:p>
          <w:p>
            <w:pPr>
              <w:spacing w:line="288" w:lineRule="auto"/>
              <w:ind w:firstLine="422" w:firstLineChars="200"/>
              <w:rPr>
                <w:rFonts w:ascii="宋体" w:hAnsi="宋体" w:cs="宋体"/>
                <w:szCs w:val="21"/>
              </w:rPr>
            </w:pPr>
            <w:r>
              <w:rPr>
                <w:rFonts w:hint="eastAsia" w:ascii="宋体" w:hAnsi="宋体" w:cs="宋体"/>
                <w:b/>
                <w:szCs w:val="21"/>
                <w:u w:val="single"/>
              </w:rPr>
              <w:t>切实做好文明施工的各项措施，达到文明工地合格标准。</w:t>
            </w:r>
            <w:r>
              <w:rPr>
                <w:rFonts w:hint="eastAsia" w:ascii="宋体" w:hAnsi="宋体" w:cs="宋体"/>
                <w:szCs w:val="21"/>
              </w:rPr>
              <w:t>文明施工按建设部《建筑施工安全检查标准》（JGJ59-2011）中有关文明施工的规定、《广东省建筑工程文明施工检查评分细则》（粤建施字【1999】060号）、《中山市建筑施工安全和文明施工评分实施办法(暂行)的通知(中建委)［2001］15号》、“中山市住房和城乡建设局转发省建设厅建筑工程绿色施工安全防护措施费用管理办法及其补充规定的通知（中建通[2008]6号）”以及建设行政主管部门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1.4.1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竞投单位资质条件、能力和信誉</w:t>
            </w:r>
          </w:p>
        </w:tc>
        <w:tc>
          <w:tcPr>
            <w:tcW w:w="5153" w:type="dxa"/>
            <w:vAlign w:val="center"/>
          </w:tcPr>
          <w:p>
            <w:pPr>
              <w:spacing w:line="288" w:lineRule="auto"/>
              <w:rPr>
                <w:rFonts w:ascii="宋体" w:hAnsi="宋体" w:cs="宋体"/>
                <w:b/>
                <w:szCs w:val="21"/>
              </w:rPr>
            </w:pPr>
            <w:r>
              <w:rPr>
                <w:rFonts w:hint="eastAsia" w:ascii="宋体" w:hAnsi="宋体" w:cs="宋体"/>
                <w:b/>
                <w:szCs w:val="21"/>
              </w:rPr>
              <w:t>资质条件：</w:t>
            </w:r>
          </w:p>
          <w:p>
            <w:pPr>
              <w:spacing w:line="288" w:lineRule="auto"/>
              <w:rPr>
                <w:rFonts w:ascii="宋体" w:hAnsi="宋体" w:cs="宋体"/>
                <w:color w:val="000000"/>
                <w:szCs w:val="21"/>
              </w:rPr>
            </w:pPr>
            <w:r>
              <w:rPr>
                <w:rFonts w:hint="eastAsia" w:ascii="宋体" w:hAnsi="宋体" w:cs="宋体"/>
                <w:color w:val="000000"/>
                <w:szCs w:val="21"/>
              </w:rPr>
              <w:t>具备</w:t>
            </w:r>
            <w:r>
              <w:rPr>
                <w:rFonts w:hint="eastAsia" w:ascii="宋体" w:hAnsi="宋体"/>
                <w:szCs w:val="21"/>
                <w:u w:val="single"/>
              </w:rPr>
              <w:t>建筑工程</w:t>
            </w:r>
            <w:r>
              <w:rPr>
                <w:rFonts w:ascii="宋体" w:hAnsi="宋体"/>
                <w:szCs w:val="21"/>
                <w:u w:val="single"/>
              </w:rPr>
              <w:t>施工总承包叁级</w:t>
            </w:r>
            <w:r>
              <w:rPr>
                <w:rFonts w:hint="eastAsia" w:ascii="宋体" w:hAnsi="宋体" w:cs="宋体"/>
                <w:color w:val="000000"/>
                <w:szCs w:val="21"/>
              </w:rPr>
              <w:t>或以上资质（含</w:t>
            </w:r>
            <w:r>
              <w:rPr>
                <w:rFonts w:hint="eastAsia" w:ascii="宋体" w:hAnsi="宋体" w:cs="宋体"/>
                <w:color w:val="000000"/>
                <w:szCs w:val="21"/>
                <w:u w:val="single"/>
              </w:rPr>
              <w:t>叁</w:t>
            </w:r>
            <w:r>
              <w:rPr>
                <w:rFonts w:hint="eastAsia" w:ascii="宋体" w:hAnsi="宋体" w:cs="宋体"/>
                <w:color w:val="000000"/>
                <w:szCs w:val="21"/>
              </w:rPr>
              <w:t>级）的企业，</w:t>
            </w:r>
            <w:r>
              <w:rPr>
                <w:rFonts w:hint="eastAsia" w:ascii="宋体" w:hAnsi="宋体" w:cs="宋体"/>
                <w:kern w:val="0"/>
                <w:szCs w:val="21"/>
              </w:rPr>
              <w:t>经过市场监督管理部门确定的具有独立法人资格的企业，并具有有效的安全生产许可证。</w:t>
            </w:r>
          </w:p>
          <w:p>
            <w:pPr>
              <w:spacing w:line="288" w:lineRule="auto"/>
              <w:rPr>
                <w:rFonts w:ascii="宋体" w:hAnsi="宋体" w:cs="宋体"/>
                <w:b/>
              </w:rPr>
            </w:pPr>
            <w:r>
              <w:rPr>
                <w:rFonts w:hint="eastAsia" w:ascii="宋体" w:hAnsi="宋体" w:cs="宋体"/>
                <w:b/>
              </w:rPr>
              <w:t>诚信要求：</w:t>
            </w:r>
          </w:p>
          <w:p>
            <w:pPr>
              <w:spacing w:line="288" w:lineRule="auto"/>
              <w:rPr>
                <w:rFonts w:ascii="宋体" w:hAnsi="宋体" w:cs="宋体"/>
                <w:color w:val="000000"/>
                <w:szCs w:val="21"/>
                <w:u w:val="single"/>
              </w:rPr>
            </w:pPr>
            <w:r>
              <w:rPr>
                <w:rFonts w:hint="eastAsia" w:ascii="宋体" w:hAnsi="宋体" w:cs="宋体"/>
                <w:color w:val="000000"/>
                <w:szCs w:val="21"/>
              </w:rPr>
              <w:t>已完成中山市建设工程企业诚信档案登记备案，在中山市建设工程企业诚信评价C级及以上且显示资料未过期。</w:t>
            </w:r>
            <w:r>
              <w:rPr>
                <w:rFonts w:hint="eastAsia" w:ascii="宋体" w:hAnsi="宋体" w:cs="宋体"/>
                <w:color w:val="000000"/>
                <w:szCs w:val="21"/>
                <w:u w:val="single"/>
              </w:rPr>
              <w:t>（提供202</w:t>
            </w:r>
            <w:r>
              <w:rPr>
                <w:rFonts w:hint="eastAsia" w:ascii="宋体" w:hAnsi="宋体" w:cs="宋体"/>
                <w:color w:val="000000"/>
                <w:szCs w:val="21"/>
                <w:u w:val="single"/>
                <w:lang w:val="en-US" w:eastAsia="zh-CN"/>
              </w:rPr>
              <w:t>3</w:t>
            </w:r>
            <w:r>
              <w:rPr>
                <w:rFonts w:hint="eastAsia" w:ascii="宋体" w:hAnsi="宋体" w:cs="宋体"/>
                <w:color w:val="000000"/>
                <w:szCs w:val="21"/>
                <w:u w:val="single"/>
              </w:rPr>
              <w:t>年</w:t>
            </w:r>
            <w:r>
              <w:rPr>
                <w:rFonts w:hint="eastAsia" w:ascii="宋体" w:hAnsi="宋体" w:cs="宋体"/>
                <w:color w:val="000000"/>
                <w:szCs w:val="21"/>
                <w:u w:val="single"/>
                <w:lang w:val="en-US" w:eastAsia="zh-CN"/>
              </w:rPr>
              <w:t>5</w:t>
            </w:r>
            <w:r>
              <w:rPr>
                <w:rFonts w:hint="eastAsia" w:ascii="宋体" w:hAnsi="宋体" w:cs="宋体"/>
                <w:color w:val="000000"/>
                <w:szCs w:val="21"/>
                <w:u w:val="single"/>
              </w:rPr>
              <w:t>月份企业网页信息截图为准）</w:t>
            </w:r>
          </w:p>
          <w:p>
            <w:pPr>
              <w:spacing w:line="288" w:lineRule="auto"/>
              <w:rPr>
                <w:rFonts w:ascii="宋体" w:hAnsi="宋体" w:cs="宋体"/>
                <w:b/>
                <w:szCs w:val="21"/>
              </w:rPr>
            </w:pPr>
            <w:r>
              <w:rPr>
                <w:rFonts w:hint="eastAsia" w:ascii="宋体" w:hAnsi="宋体" w:cs="宋体"/>
                <w:b/>
                <w:szCs w:val="21"/>
              </w:rPr>
              <w:t>其他要求：</w:t>
            </w:r>
          </w:p>
          <w:p>
            <w:pPr>
              <w:spacing w:line="288" w:lineRule="auto"/>
              <w:rPr>
                <w:rFonts w:ascii="宋体" w:hAnsi="宋体" w:cs="宋体"/>
                <w:szCs w:val="21"/>
              </w:rPr>
            </w:pPr>
            <w:r>
              <w:rPr>
                <w:rFonts w:hint="eastAsia" w:ascii="宋体" w:hAnsi="宋体" w:cs="宋体"/>
                <w:color w:val="000000"/>
                <w:szCs w:val="21"/>
              </w:rPr>
              <w:t>根据相关文件要求，在《信用中国》网站提供（网址： www.creditchina.gov.cn ）未被确定为“失信被执行人”报告，报名单位需下载打印信用报告。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1.4.2</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是否接受联合体竞投</w:t>
            </w:r>
          </w:p>
        </w:tc>
        <w:tc>
          <w:tcPr>
            <w:tcW w:w="5153" w:type="dxa"/>
            <w:vAlign w:val="center"/>
          </w:tcPr>
          <w:p>
            <w:pPr>
              <w:spacing w:line="288" w:lineRule="auto"/>
              <w:rPr>
                <w:rFonts w:ascii="宋体" w:hAnsi="宋体" w:cs="宋体"/>
                <w:szCs w:val="21"/>
              </w:rPr>
            </w:pPr>
            <w:r>
              <w:rPr>
                <w:rFonts w:hint="eastAsia" w:ascii="宋体" w:hAnsi="宋体" w:cs="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1.9.1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踏勘现场</w:t>
            </w:r>
          </w:p>
        </w:tc>
        <w:tc>
          <w:tcPr>
            <w:tcW w:w="5153" w:type="dxa"/>
            <w:vAlign w:val="center"/>
          </w:tcPr>
          <w:p>
            <w:pPr>
              <w:spacing w:line="288" w:lineRule="auto"/>
              <w:rPr>
                <w:rFonts w:ascii="宋体" w:hAnsi="宋体" w:cs="宋体"/>
                <w:szCs w:val="21"/>
              </w:rPr>
            </w:pPr>
            <w:r>
              <w:rPr>
                <w:rFonts w:hint="eastAsia" w:ascii="宋体" w:hAnsi="宋体" w:cs="宋体"/>
                <w:szCs w:val="21"/>
                <w:bdr w:val="single" w:color="auto" w:sz="4" w:space="0"/>
              </w:rPr>
              <w:t>√</w:t>
            </w:r>
            <w:r>
              <w:rPr>
                <w:rFonts w:hint="eastAsia" w:ascii="宋体" w:hAnsi="宋体" w:cs="宋体"/>
                <w:szCs w:val="21"/>
              </w:rPr>
              <w:t>不组织踏勘现场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1.10</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竞投答疑</w:t>
            </w:r>
          </w:p>
          <w:p>
            <w:pPr>
              <w:spacing w:line="288" w:lineRule="auto"/>
              <w:jc w:val="center"/>
              <w:rPr>
                <w:rFonts w:ascii="宋体" w:hAnsi="宋体" w:cs="宋体"/>
                <w:szCs w:val="21"/>
              </w:rPr>
            </w:pPr>
          </w:p>
        </w:tc>
        <w:tc>
          <w:tcPr>
            <w:tcW w:w="5153" w:type="dxa"/>
            <w:vAlign w:val="center"/>
          </w:tcPr>
          <w:p>
            <w:pPr>
              <w:spacing w:line="288" w:lineRule="auto"/>
              <w:ind w:left="2" w:firstLine="434" w:firstLineChars="207"/>
              <w:rPr>
                <w:rFonts w:ascii="宋体" w:hAnsi="宋体" w:cs="宋体"/>
                <w:bCs/>
                <w:color w:val="FF0000"/>
                <w:szCs w:val="21"/>
              </w:rPr>
            </w:pPr>
            <w:r>
              <w:rPr>
                <w:rFonts w:hint="eastAsia" w:ascii="宋体" w:hAnsi="宋体" w:cs="宋体"/>
              </w:rPr>
              <w:t>竞投单位向建设单位（项目需求单位）（或代理单位）提交有关问题的，可按竞投单位须知前附表中议程安排的时间内</w:t>
            </w:r>
            <w:r>
              <w:rPr>
                <w:rFonts w:hint="eastAsia" w:ascii="宋体" w:hAnsi="宋体" w:cs="宋体"/>
                <w:bCs/>
                <w:szCs w:val="21"/>
              </w:rPr>
              <w:t>，</w:t>
            </w:r>
            <w:r>
              <w:rPr>
                <w:rFonts w:hint="eastAsia" w:ascii="宋体" w:hAnsi="宋体" w:cs="宋体"/>
                <w:b/>
                <w:bCs/>
                <w:szCs w:val="21"/>
              </w:rPr>
              <w:t>通过竞投单位指定邮箱</w:t>
            </w:r>
            <w:r>
              <w:rPr>
                <w:rFonts w:hint="eastAsia" w:ascii="宋体" w:hAnsi="宋体" w:cs="宋体"/>
                <w:bCs/>
                <w:szCs w:val="21"/>
              </w:rPr>
              <w:t xml:space="preserve">将问题以WORD文档电子文件（不能用图片）格式发送至 </w:t>
            </w:r>
            <w:r>
              <w:rPr>
                <w:rFonts w:hint="eastAsia" w:ascii="宋体" w:hAnsi="宋体" w:cs="宋体"/>
                <w:bCs/>
                <w:szCs w:val="21"/>
                <w:lang w:eastAsia="zh-CN"/>
              </w:rPr>
              <w:t>中山市小榄镇城市建设和管理局</w:t>
            </w:r>
            <w:r>
              <w:rPr>
                <w:rFonts w:hint="eastAsia" w:ascii="宋体" w:hAnsi="宋体" w:cs="宋体"/>
                <w:bCs/>
                <w:szCs w:val="21"/>
              </w:rPr>
              <w:t>招投标管理办公室 邮箱：</w:t>
            </w:r>
            <w:r>
              <w:rPr>
                <w:rFonts w:hint="eastAsia" w:ascii="宋体" w:hAnsi="宋体" w:cs="宋体"/>
                <w:bCs/>
                <w:color w:val="FF0000"/>
                <w:szCs w:val="21"/>
                <w:u w:val="single"/>
              </w:rPr>
              <w:t xml:space="preserve"> </w:t>
            </w:r>
            <w:r>
              <w:fldChar w:fldCharType="begin"/>
            </w:r>
            <w:r>
              <w:instrText xml:space="preserve"> HYPERLINK "mailto:xlzbb@xiaolan.cn" </w:instrText>
            </w:r>
            <w:r>
              <w:fldChar w:fldCharType="separate"/>
            </w:r>
            <w:r>
              <w:rPr>
                <w:rStyle w:val="15"/>
                <w:rFonts w:hint="eastAsia" w:ascii="宋体" w:hAnsi="宋体" w:cs="宋体"/>
                <w:bCs/>
                <w:color w:val="FF0000"/>
                <w:szCs w:val="21"/>
              </w:rPr>
              <w:t>xlzbb@xiaolan.cn</w:t>
            </w:r>
            <w:r>
              <w:rPr>
                <w:rStyle w:val="15"/>
                <w:rFonts w:hint="eastAsia" w:ascii="宋体" w:hAnsi="宋体" w:cs="宋体"/>
                <w:bCs/>
                <w:color w:val="FF0000"/>
                <w:szCs w:val="21"/>
              </w:rPr>
              <w:fldChar w:fldCharType="end"/>
            </w:r>
            <w:r>
              <w:rPr>
                <w:rFonts w:hint="eastAsia" w:ascii="宋体" w:hAnsi="宋体" w:cs="宋体"/>
              </w:rPr>
              <w:t>且所提交的资料以无记名形式提交，不得有任何可识别竞投单位单位及人员的标识。</w:t>
            </w:r>
            <w:r>
              <w:rPr>
                <w:rFonts w:hint="eastAsia" w:ascii="宋体" w:hAnsi="宋体" w:cs="宋体"/>
                <w:b/>
              </w:rPr>
              <w:t>如竞投单位未用指定邮箱发出并且发送提疑文件格式错误，将无法联系而导致不予接受其提疑问题等情况，后果自负。</w:t>
            </w:r>
            <w:r>
              <w:rPr>
                <w:rFonts w:hint="eastAsia" w:ascii="宋体" w:hAnsi="宋体" w:cs="宋体"/>
                <w:bCs/>
                <w:color w:val="FF0000"/>
                <w:szCs w:val="21"/>
              </w:rPr>
              <w:t>如有疑问，请及时联系</w:t>
            </w:r>
            <w:r>
              <w:rPr>
                <w:rFonts w:hint="eastAsia" w:ascii="宋体" w:hAnsi="宋体" w:cs="宋体"/>
                <w:bCs/>
                <w:color w:val="FF0000"/>
                <w:szCs w:val="21"/>
                <w:lang w:eastAsia="zh-CN"/>
              </w:rPr>
              <w:t>中山市小榄镇城市建设和管理局</w:t>
            </w:r>
            <w:r>
              <w:rPr>
                <w:rFonts w:hint="eastAsia" w:ascii="宋体" w:hAnsi="宋体" w:cs="宋体"/>
                <w:bCs/>
                <w:color w:val="FF0000"/>
                <w:szCs w:val="21"/>
              </w:rPr>
              <w:t>招投标管理办公室</w:t>
            </w:r>
            <w:r>
              <w:rPr>
                <w:rFonts w:hint="eastAsia" w:ascii="宋体" w:hAnsi="宋体" w:cs="宋体"/>
                <w:bCs/>
                <w:szCs w:val="21"/>
              </w:rPr>
              <w:t>何小姐（联系电话：</w:t>
            </w:r>
            <w:r>
              <w:rPr>
                <w:rFonts w:hint="eastAsia" w:ascii="宋体" w:hAnsi="宋体" w:cs="宋体"/>
                <w:bCs/>
                <w:szCs w:val="21"/>
                <w:u w:val="single"/>
              </w:rPr>
              <w:t>0760-22280839</w:t>
            </w:r>
            <w:r>
              <w:rPr>
                <w:rFonts w:hint="eastAsia" w:ascii="宋体" w:hAnsi="宋体" w:cs="宋体"/>
                <w:bCs/>
                <w:szCs w:val="21"/>
              </w:rPr>
              <w:t>）。</w:t>
            </w:r>
          </w:p>
          <w:p>
            <w:pPr>
              <w:spacing w:line="288" w:lineRule="auto"/>
              <w:ind w:firstLine="420" w:firstLineChars="200"/>
              <w:rPr>
                <w:rFonts w:ascii="宋体" w:hAnsi="宋体" w:cs="宋体"/>
                <w:bCs/>
                <w:szCs w:val="21"/>
              </w:rPr>
            </w:pPr>
            <w:r>
              <w:rPr>
                <w:rFonts w:hint="eastAsia" w:ascii="宋体" w:hAnsi="宋体" w:cs="宋体"/>
                <w:bCs/>
                <w:szCs w:val="21"/>
                <w:u w:val="single"/>
                <w:lang w:eastAsia="zh-CN"/>
              </w:rPr>
              <w:t>中山市小榄镇城市建设和管理局</w:t>
            </w:r>
            <w:r>
              <w:rPr>
                <w:rFonts w:hint="eastAsia" w:ascii="宋体" w:hAnsi="宋体" w:cs="宋体"/>
                <w:bCs/>
                <w:szCs w:val="21"/>
                <w:u w:val="single"/>
              </w:rPr>
              <w:t>招投标管理办公室</w:t>
            </w:r>
            <w:r>
              <w:rPr>
                <w:rFonts w:hint="eastAsia" w:ascii="宋体" w:hAnsi="宋体" w:cs="宋体"/>
                <w:u w:val="single"/>
              </w:rPr>
              <w:t xml:space="preserve"> </w:t>
            </w:r>
            <w:r>
              <w:rPr>
                <w:rFonts w:hint="eastAsia" w:ascii="宋体" w:hAnsi="宋体" w:cs="宋体"/>
                <w:bCs/>
                <w:szCs w:val="21"/>
              </w:rPr>
              <w:t>(工作小组）</w:t>
            </w:r>
            <w:r>
              <w:rPr>
                <w:rFonts w:hint="eastAsia" w:ascii="宋体" w:hAnsi="宋体" w:cs="宋体"/>
              </w:rPr>
              <w:t>收集相关问题，组织有关单位人员研究并形成答疑文件（补遗书），</w:t>
            </w:r>
            <w:r>
              <w:rPr>
                <w:rFonts w:hint="eastAsia" w:ascii="宋体" w:hAnsi="宋体" w:cs="宋体"/>
                <w:bCs/>
                <w:szCs w:val="21"/>
              </w:rPr>
              <w:t>由</w:t>
            </w:r>
            <w:r>
              <w:rPr>
                <w:rFonts w:hint="eastAsia" w:ascii="宋体" w:hAnsi="宋体" w:cs="宋体"/>
                <w:bCs/>
                <w:szCs w:val="21"/>
                <w:u w:val="single"/>
              </w:rPr>
              <w:t xml:space="preserve"> </w:t>
            </w:r>
            <w:r>
              <w:rPr>
                <w:rFonts w:hint="eastAsia" w:ascii="宋体" w:hAnsi="宋体" w:cs="宋体"/>
                <w:bCs/>
                <w:szCs w:val="21"/>
                <w:u w:val="single"/>
                <w:lang w:eastAsia="zh-CN"/>
              </w:rPr>
              <w:t>中山市小榄镇城市建设和管理局</w:t>
            </w:r>
            <w:r>
              <w:rPr>
                <w:rFonts w:hint="eastAsia" w:ascii="宋体" w:hAnsi="宋体" w:cs="宋体"/>
                <w:bCs/>
                <w:szCs w:val="21"/>
                <w:u w:val="single"/>
              </w:rPr>
              <w:t xml:space="preserve">招投标管理办公室 </w:t>
            </w:r>
            <w:r>
              <w:rPr>
                <w:rFonts w:hint="eastAsia" w:ascii="宋体" w:hAnsi="宋体" w:cs="宋体"/>
                <w:bCs/>
                <w:szCs w:val="21"/>
              </w:rPr>
              <w:t>(工作小组）统一以邮件方式回复，将回复到竞投单位指定邮箱中（必须设置自动回复功能）。</w:t>
            </w:r>
          </w:p>
          <w:p>
            <w:pPr>
              <w:spacing w:line="288" w:lineRule="auto"/>
              <w:ind w:firstLine="420" w:firstLineChars="200"/>
              <w:rPr>
                <w:rFonts w:ascii="宋体" w:hAnsi="宋体" w:cs="宋体"/>
              </w:rPr>
            </w:pPr>
            <w:r>
              <w:rPr>
                <w:rFonts w:hint="eastAsia" w:ascii="宋体" w:hAnsi="宋体" w:cs="宋体"/>
              </w:rPr>
              <w:t>各竞投单位自行查收下载答疑文件（补遗书），建设单位（项目需求单位）不再另行通知。如在前附表规定时间内未能收到答疑文件（补遗书），请及时联系代理单位，若竞投单位因自身原因未能获取答疑资料造成的后果，由竞投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1.10.1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竞投单位提出问题的截止时间</w:t>
            </w:r>
          </w:p>
        </w:tc>
        <w:tc>
          <w:tcPr>
            <w:tcW w:w="5153" w:type="dxa"/>
            <w:vAlign w:val="center"/>
          </w:tcPr>
          <w:p>
            <w:pPr>
              <w:spacing w:line="288" w:lineRule="auto"/>
              <w:rPr>
                <w:rFonts w:ascii="宋体" w:hAnsi="宋体" w:cs="宋体"/>
                <w:szCs w:val="21"/>
              </w:rPr>
            </w:pPr>
            <w:r>
              <w:rPr>
                <w:rFonts w:hint="eastAsia" w:ascii="宋体" w:hAnsi="宋体" w:cs="宋体"/>
                <w:szCs w:val="21"/>
              </w:rPr>
              <w:t>2023年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5</w:t>
            </w:r>
            <w:r>
              <w:rPr>
                <w:rFonts w:hint="eastAsia" w:ascii="宋体" w:hAnsi="宋体" w:cs="宋体"/>
                <w:szCs w:val="21"/>
              </w:rPr>
              <w:t>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1.10.2</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建设单位（项目需求单位）网上澄清的截止时间</w:t>
            </w:r>
          </w:p>
        </w:tc>
        <w:tc>
          <w:tcPr>
            <w:tcW w:w="5153" w:type="dxa"/>
            <w:vAlign w:val="center"/>
          </w:tcPr>
          <w:p>
            <w:pPr>
              <w:spacing w:line="288" w:lineRule="auto"/>
              <w:rPr>
                <w:rFonts w:ascii="宋体" w:hAnsi="宋体" w:cs="宋体"/>
                <w:szCs w:val="21"/>
              </w:rPr>
            </w:pPr>
            <w:r>
              <w:rPr>
                <w:rFonts w:hint="eastAsia" w:ascii="宋体" w:hAnsi="宋体" w:cs="宋体"/>
                <w:szCs w:val="21"/>
              </w:rPr>
              <w:t>2023年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1.11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分包</w:t>
            </w:r>
          </w:p>
        </w:tc>
        <w:tc>
          <w:tcPr>
            <w:tcW w:w="5153" w:type="dxa"/>
            <w:vAlign w:val="center"/>
          </w:tcPr>
          <w:p>
            <w:pPr>
              <w:spacing w:line="288" w:lineRule="auto"/>
              <w:rPr>
                <w:rFonts w:ascii="宋体" w:hAnsi="宋体" w:cs="宋体"/>
                <w:szCs w:val="21"/>
              </w:rPr>
            </w:pPr>
            <w:r>
              <w:rPr>
                <w:rFonts w:hint="eastAsia" w:ascii="宋体" w:hAnsi="宋体" w:cs="宋体"/>
                <w:szCs w:val="21"/>
                <w:bdr w:val="single" w:color="auto" w:sz="4" w:space="0"/>
              </w:rPr>
              <w:t>√</w:t>
            </w:r>
            <w:r>
              <w:rPr>
                <w:rFonts w:hint="eastAsia" w:ascii="宋体" w:hAnsi="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1.12</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偏离</w:t>
            </w:r>
          </w:p>
        </w:tc>
        <w:tc>
          <w:tcPr>
            <w:tcW w:w="5153" w:type="dxa"/>
            <w:vAlign w:val="center"/>
          </w:tcPr>
          <w:p>
            <w:pPr>
              <w:spacing w:line="288" w:lineRule="auto"/>
              <w:rPr>
                <w:rFonts w:ascii="宋体" w:hAnsi="宋体" w:cs="宋体"/>
                <w:szCs w:val="21"/>
              </w:rPr>
            </w:pPr>
            <w:r>
              <w:rPr>
                <w:rFonts w:hint="eastAsia" w:ascii="宋体" w:hAnsi="宋体" w:cs="宋体"/>
                <w:szCs w:val="21"/>
                <w:bdr w:val="single" w:color="auto" w:sz="4" w:space="0"/>
              </w:rPr>
              <w:t>√</w:t>
            </w:r>
            <w:r>
              <w:rPr>
                <w:rFonts w:hint="eastAsia" w:ascii="宋体" w:hAnsi="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2.1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构成项目需求书的其他材料</w:t>
            </w:r>
          </w:p>
        </w:tc>
        <w:tc>
          <w:tcPr>
            <w:tcW w:w="5153" w:type="dxa"/>
            <w:vAlign w:val="center"/>
          </w:tcPr>
          <w:p>
            <w:pPr>
              <w:spacing w:line="288" w:lineRule="auto"/>
              <w:rPr>
                <w:rFonts w:ascii="宋体" w:hAnsi="宋体" w:cs="宋体"/>
                <w:szCs w:val="21"/>
              </w:rPr>
            </w:pPr>
            <w:r>
              <w:rPr>
                <w:rFonts w:hint="eastAsia" w:ascii="宋体" w:hAnsi="宋体" w:cs="宋体"/>
                <w:szCs w:val="21"/>
              </w:rPr>
              <w:t>施工设计图、中介预算及工程量清单、竞投答疑文件等。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2.2.1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竞投单位要求澄清项目需求书的截止时间</w:t>
            </w:r>
          </w:p>
        </w:tc>
        <w:tc>
          <w:tcPr>
            <w:tcW w:w="5153" w:type="dxa"/>
            <w:vAlign w:val="center"/>
          </w:tcPr>
          <w:p>
            <w:pPr>
              <w:spacing w:line="288" w:lineRule="auto"/>
              <w:rPr>
                <w:rFonts w:ascii="宋体" w:hAnsi="宋体" w:cs="宋体"/>
                <w:szCs w:val="21"/>
              </w:rPr>
            </w:pPr>
            <w:r>
              <w:rPr>
                <w:rFonts w:hint="eastAsia" w:ascii="宋体" w:hAnsi="宋体" w:cs="宋体"/>
                <w:szCs w:val="21"/>
              </w:rPr>
              <w:t>2023年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5</w:t>
            </w:r>
            <w:r>
              <w:rPr>
                <w:rFonts w:hint="eastAsia" w:ascii="宋体" w:hAnsi="宋体" w:cs="宋体"/>
                <w:szCs w:val="21"/>
              </w:rPr>
              <w:t>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2.2.2</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竞投会截止时间</w:t>
            </w:r>
          </w:p>
        </w:tc>
        <w:tc>
          <w:tcPr>
            <w:tcW w:w="5153" w:type="dxa"/>
            <w:vAlign w:val="center"/>
          </w:tcPr>
          <w:p>
            <w:pPr>
              <w:spacing w:line="288" w:lineRule="auto"/>
              <w:rPr>
                <w:rFonts w:ascii="宋体" w:hAnsi="宋体" w:eastAsia="宋体" w:cs="宋体"/>
                <w:szCs w:val="21"/>
              </w:rPr>
            </w:pPr>
            <w:r>
              <w:rPr>
                <w:rFonts w:hint="eastAsia" w:ascii="宋体" w:hAnsi="宋体" w:cs="宋体"/>
                <w:szCs w:val="21"/>
              </w:rPr>
              <w:t>2023年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2.2.3</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竞投会时间</w:t>
            </w:r>
          </w:p>
          <w:p>
            <w:pPr>
              <w:spacing w:line="288" w:lineRule="auto"/>
              <w:jc w:val="center"/>
              <w:rPr>
                <w:rFonts w:ascii="宋体" w:hAnsi="宋体" w:cs="宋体"/>
                <w:szCs w:val="21"/>
              </w:rPr>
            </w:pPr>
            <w:r>
              <w:rPr>
                <w:rFonts w:hint="eastAsia" w:ascii="宋体" w:hAnsi="宋体" w:cs="宋体"/>
                <w:szCs w:val="21"/>
              </w:rPr>
              <w:t>（纸质竞投文件递交截止时间）</w:t>
            </w:r>
          </w:p>
        </w:tc>
        <w:tc>
          <w:tcPr>
            <w:tcW w:w="5153" w:type="dxa"/>
            <w:vAlign w:val="center"/>
          </w:tcPr>
          <w:p>
            <w:pPr>
              <w:spacing w:line="288" w:lineRule="auto"/>
              <w:rPr>
                <w:rFonts w:ascii="宋体" w:hAnsi="宋体" w:cs="宋体"/>
                <w:szCs w:val="21"/>
              </w:rPr>
            </w:pPr>
            <w:r>
              <w:rPr>
                <w:rFonts w:hint="eastAsia" w:ascii="宋体" w:hAnsi="宋体" w:cs="宋体"/>
                <w:szCs w:val="21"/>
              </w:rPr>
              <w:t>2023年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3.1.1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构成竞投文件的其他材料</w:t>
            </w:r>
          </w:p>
        </w:tc>
        <w:tc>
          <w:tcPr>
            <w:tcW w:w="5153" w:type="dxa"/>
            <w:vAlign w:val="center"/>
          </w:tcPr>
          <w:p>
            <w:pPr>
              <w:spacing w:line="288" w:lineRule="auto"/>
              <w:rPr>
                <w:rFonts w:ascii="宋体" w:hAnsi="宋体" w:cs="宋体"/>
                <w:szCs w:val="21"/>
              </w:rPr>
            </w:pPr>
            <w:r>
              <w:rPr>
                <w:rFonts w:hint="eastAsia" w:ascii="宋体" w:hAnsi="宋体" w:cs="宋体"/>
                <w:szCs w:val="21"/>
              </w:rPr>
              <w:t>竞投单位认为需提交的其他资料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3.3.1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竞投有效期</w:t>
            </w:r>
          </w:p>
        </w:tc>
        <w:tc>
          <w:tcPr>
            <w:tcW w:w="5153" w:type="dxa"/>
            <w:vAlign w:val="center"/>
          </w:tcPr>
          <w:p>
            <w:pPr>
              <w:spacing w:line="288" w:lineRule="auto"/>
              <w:rPr>
                <w:rFonts w:ascii="宋体" w:hAnsi="宋体" w:cs="宋体"/>
                <w:szCs w:val="21"/>
              </w:rPr>
            </w:pPr>
            <w:r>
              <w:rPr>
                <w:rFonts w:hint="eastAsia" w:ascii="宋体" w:hAnsi="宋体" w:cs="宋体"/>
                <w:u w:val="single"/>
              </w:rPr>
              <w:t xml:space="preserve">  90  </w:t>
            </w:r>
            <w:r>
              <w:rPr>
                <w:rFonts w:hint="eastAsia" w:ascii="宋体" w:hAnsi="宋体" w:cs="宋体"/>
              </w:rPr>
              <w:t>个日历天（从</w:t>
            </w:r>
            <w:r>
              <w:rPr>
                <w:rFonts w:hint="eastAsia" w:ascii="宋体" w:hAnsi="宋体" w:cs="宋体"/>
                <w:szCs w:val="21"/>
              </w:rPr>
              <w:t>纸质竞投文件递交截止</w:t>
            </w:r>
            <w:r>
              <w:rPr>
                <w:rFonts w:hint="eastAsia" w:ascii="宋体" w:hAnsi="宋体" w:cs="宋体"/>
              </w:rPr>
              <w:t>之日计起）</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3.4.1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竞投保证金</w:t>
            </w:r>
          </w:p>
        </w:tc>
        <w:tc>
          <w:tcPr>
            <w:tcW w:w="5153" w:type="dxa"/>
            <w:vAlign w:val="center"/>
          </w:tcPr>
          <w:p>
            <w:pPr>
              <w:spacing w:line="288" w:lineRule="auto"/>
              <w:rPr>
                <w:rFonts w:ascii="宋体" w:hAnsi="宋体" w:cs="宋体"/>
                <w:szCs w:val="21"/>
              </w:rPr>
            </w:pPr>
            <w:r>
              <w:rPr>
                <w:rFonts w:hint="eastAsia" w:ascii="宋体" w:hAnsi="宋体" w:cs="宋体"/>
                <w:bCs/>
                <w:szCs w:val="21"/>
              </w:rPr>
              <w:t>竞投单位将竞投保证金由</w:t>
            </w:r>
            <w:r>
              <w:rPr>
                <w:rFonts w:hint="eastAsia" w:ascii="宋体" w:hAnsi="宋体" w:cs="宋体"/>
                <w:b/>
                <w:bCs/>
                <w:szCs w:val="21"/>
              </w:rPr>
              <w:t>企业基本账户</w:t>
            </w:r>
            <w:r>
              <w:rPr>
                <w:rFonts w:hint="eastAsia" w:ascii="宋体" w:hAnsi="宋体" w:cs="宋体"/>
                <w:bCs/>
                <w:szCs w:val="21"/>
              </w:rPr>
              <w:t>汇入以下账户：</w:t>
            </w:r>
          </w:p>
          <w:p>
            <w:pPr>
              <w:spacing w:line="360" w:lineRule="exact"/>
              <w:rPr>
                <w:rFonts w:hint="eastAsia"/>
                <w:b/>
                <w:color w:val="FF0000"/>
                <w:sz w:val="21"/>
                <w:szCs w:val="21"/>
              </w:rPr>
            </w:pPr>
            <w:r>
              <w:rPr>
                <w:rFonts w:hint="eastAsia"/>
                <w:b/>
                <w:color w:val="FF0000"/>
                <w:sz w:val="21"/>
                <w:szCs w:val="21"/>
              </w:rPr>
              <w:t>开户单位：中山市小榄镇盛丰股份合作经济联合社</w:t>
            </w:r>
          </w:p>
          <w:p>
            <w:pPr>
              <w:spacing w:line="360" w:lineRule="exact"/>
              <w:rPr>
                <w:rFonts w:hint="eastAsia"/>
                <w:b/>
                <w:color w:val="FF0000"/>
                <w:sz w:val="21"/>
                <w:szCs w:val="21"/>
              </w:rPr>
            </w:pPr>
            <w:r>
              <w:rPr>
                <w:rFonts w:hint="eastAsia"/>
                <w:b/>
                <w:color w:val="FF0000"/>
                <w:sz w:val="21"/>
                <w:szCs w:val="21"/>
              </w:rPr>
              <w:t>开户银行：</w:t>
            </w:r>
            <w:r>
              <w:rPr>
                <w:rFonts w:hint="eastAsia"/>
                <w:b/>
                <w:color w:val="0000FF"/>
                <w:sz w:val="21"/>
                <w:szCs w:val="21"/>
              </w:rPr>
              <w:t>中山农商银行小榄</w:t>
            </w:r>
            <w:r>
              <w:rPr>
                <w:rFonts w:hint="eastAsia"/>
                <w:b/>
                <w:color w:val="0000FF"/>
                <w:sz w:val="21"/>
                <w:szCs w:val="21"/>
                <w:lang w:eastAsia="zh-CN"/>
              </w:rPr>
              <w:t>工业区</w:t>
            </w:r>
            <w:r>
              <w:rPr>
                <w:rFonts w:hint="eastAsia"/>
                <w:b/>
                <w:color w:val="0000FF"/>
                <w:sz w:val="21"/>
                <w:szCs w:val="21"/>
              </w:rPr>
              <w:t>支行</w:t>
            </w:r>
          </w:p>
          <w:p>
            <w:pPr>
              <w:spacing w:line="360" w:lineRule="exact"/>
              <w:rPr>
                <w:b/>
                <w:color w:val="FF0000"/>
                <w:szCs w:val="21"/>
              </w:rPr>
            </w:pPr>
            <w:r>
              <w:rPr>
                <w:rFonts w:hint="eastAsia"/>
                <w:b/>
                <w:color w:val="FF0000"/>
                <w:sz w:val="21"/>
                <w:szCs w:val="21"/>
              </w:rPr>
              <w:t>开户账号：</w:t>
            </w:r>
            <w:r>
              <w:rPr>
                <w:rFonts w:hint="eastAsia" w:ascii="宋体" w:hAnsi="宋体" w:eastAsia="宋体" w:cs="宋体"/>
                <w:b/>
                <w:color w:val="FF0000"/>
                <w:sz w:val="22"/>
                <w:szCs w:val="22"/>
                <w:u w:val="single"/>
              </w:rPr>
              <w:t>80020000000046592</w:t>
            </w:r>
          </w:p>
          <w:p>
            <w:pPr>
              <w:spacing w:line="360" w:lineRule="exact"/>
              <w:rPr>
                <w:rFonts w:ascii="宋体" w:hAnsi="宋体" w:eastAsia="宋体" w:cs="宋体"/>
                <w:b/>
                <w:color w:val="FF0000"/>
                <w:szCs w:val="21"/>
              </w:rPr>
            </w:pPr>
            <w:r>
              <w:rPr>
                <w:rFonts w:hint="eastAsia"/>
                <w:b/>
                <w:color w:val="FF0000"/>
                <w:szCs w:val="21"/>
              </w:rPr>
              <w:t>金额：</w:t>
            </w:r>
            <w:r>
              <w:rPr>
                <w:rFonts w:hint="eastAsia" w:ascii="宋体" w:hAnsi="宋体" w:eastAsia="宋体" w:cs="宋体"/>
                <w:b/>
                <w:color w:val="FF0000"/>
                <w:sz w:val="22"/>
                <w:szCs w:val="22"/>
                <w:u w:val="single"/>
                <w:lang w:val="en-US" w:eastAsia="zh-CN"/>
              </w:rPr>
              <w:t>25</w:t>
            </w:r>
            <w:r>
              <w:rPr>
                <w:rFonts w:hint="eastAsia" w:ascii="宋体" w:hAnsi="宋体" w:eastAsia="宋体" w:cs="宋体"/>
                <w:b/>
                <w:color w:val="FF0000"/>
                <w:sz w:val="22"/>
                <w:szCs w:val="22"/>
                <w:u w:val="single"/>
              </w:rPr>
              <w:t>0000.00</w:t>
            </w:r>
            <w:r>
              <w:rPr>
                <w:rFonts w:hint="eastAsia"/>
                <w:b/>
                <w:color w:val="FF0000"/>
                <w:szCs w:val="21"/>
                <w:u w:val="single"/>
              </w:rPr>
              <w:t>元（大写：</w:t>
            </w:r>
            <w:r>
              <w:rPr>
                <w:rFonts w:hint="eastAsia"/>
                <w:b/>
                <w:color w:val="FF0000"/>
                <w:szCs w:val="21"/>
                <w:u w:val="single"/>
                <w:lang w:val="en-US" w:eastAsia="zh-CN"/>
              </w:rPr>
              <w:t>人民币贰拾伍万元整</w:t>
            </w:r>
            <w:r>
              <w:rPr>
                <w:rFonts w:hint="eastAsia"/>
                <w:b/>
                <w:color w:val="FF0000"/>
                <w:szCs w:val="21"/>
                <w:u w:val="single"/>
              </w:rPr>
              <w:t>）</w:t>
            </w:r>
          </w:p>
          <w:p>
            <w:pPr>
              <w:spacing w:line="360" w:lineRule="exact"/>
              <w:rPr>
                <w:rFonts w:ascii="宋体" w:hAnsi="宋体" w:cs="宋体"/>
                <w:szCs w:val="21"/>
              </w:rPr>
            </w:pPr>
            <w:r>
              <w:rPr>
                <w:rFonts w:hint="eastAsia" w:ascii="宋体" w:hAnsi="宋体" w:cs="宋体"/>
                <w:szCs w:val="21"/>
              </w:rPr>
              <w:t>缴纳竞投保证金到账截止时间：</w:t>
            </w:r>
            <w:r>
              <w:rPr>
                <w:rFonts w:hint="eastAsia" w:ascii="宋体" w:hAnsi="宋体" w:cs="宋体"/>
                <w:b/>
                <w:bCs/>
                <w:szCs w:val="21"/>
                <w:u w:val="single"/>
              </w:rPr>
              <w:t>2023年</w:t>
            </w:r>
            <w:r>
              <w:rPr>
                <w:rFonts w:hint="eastAsia" w:ascii="宋体" w:hAnsi="宋体" w:cs="宋体"/>
                <w:b/>
                <w:bCs/>
                <w:szCs w:val="21"/>
                <w:u w:val="single"/>
                <w:lang w:val="en-US" w:eastAsia="zh-CN"/>
              </w:rPr>
              <w:t>6</w:t>
            </w:r>
            <w:r>
              <w:rPr>
                <w:rFonts w:hint="eastAsia" w:ascii="宋体" w:hAnsi="宋体" w:cs="宋体"/>
                <w:b/>
                <w:bCs/>
                <w:szCs w:val="21"/>
                <w:u w:val="single"/>
              </w:rPr>
              <w:t>月</w:t>
            </w:r>
            <w:r>
              <w:rPr>
                <w:rFonts w:hint="eastAsia" w:ascii="宋体" w:hAnsi="宋体" w:cs="宋体"/>
                <w:b/>
                <w:bCs/>
                <w:color w:val="0000FF"/>
                <w:szCs w:val="21"/>
                <w:u w:val="single"/>
                <w:lang w:val="en-US" w:eastAsia="zh-CN"/>
              </w:rPr>
              <w:t>26</w:t>
            </w:r>
            <w:r>
              <w:rPr>
                <w:rFonts w:hint="eastAsia" w:ascii="宋体" w:hAnsi="宋体" w:cs="宋体"/>
                <w:b/>
                <w:bCs/>
                <w:szCs w:val="21"/>
                <w:u w:val="single"/>
              </w:rPr>
              <w:t>日17:00前（过期将不受理）</w:t>
            </w:r>
            <w:r>
              <w:rPr>
                <w:rFonts w:hint="eastAsia" w:ascii="宋体" w:hAnsi="宋体" w:cs="宋体"/>
                <w:szCs w:val="21"/>
              </w:rPr>
              <w:t>,并在竞投前到建设单位（项目需求单位）处开具收据，如到账时间超过规定时间或未能在竞投时提供收据原件，废标处理。</w:t>
            </w:r>
          </w:p>
          <w:p>
            <w:pPr>
              <w:spacing w:line="288" w:lineRule="auto"/>
              <w:ind w:firstLine="359" w:firstLineChars="171"/>
              <w:rPr>
                <w:rFonts w:ascii="宋体" w:hAnsi="宋体" w:cs="宋体"/>
                <w:szCs w:val="21"/>
              </w:rPr>
            </w:pPr>
            <w:r>
              <w:rPr>
                <w:rFonts w:hint="eastAsia" w:ascii="宋体" w:hAnsi="宋体" w:cs="宋体"/>
                <w:bCs/>
                <w:szCs w:val="21"/>
              </w:rPr>
              <w:t>竞投单位必须携带竞投保证金收据原</w:t>
            </w:r>
            <w:bookmarkStart w:id="179" w:name="_GoBack"/>
            <w:bookmarkEnd w:id="179"/>
            <w:r>
              <w:rPr>
                <w:rFonts w:hint="eastAsia" w:ascii="宋体" w:hAnsi="宋体" w:cs="宋体"/>
                <w:bCs/>
                <w:szCs w:val="21"/>
              </w:rPr>
              <w:t>件参加竞投会会议，否则不能通过资格审查。未中选单位，竞投会结束3天后7天内无息退还，如竞投失败则竞投会</w:t>
            </w:r>
            <w:r>
              <w:rPr>
                <w:rFonts w:hint="eastAsia" w:ascii="宋体" w:hAnsi="宋体"/>
                <w:szCs w:val="21"/>
              </w:rPr>
              <w:t>结束3天后7日内向竞投单位退还竞投保证金。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3.5</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履约保证金</w:t>
            </w:r>
          </w:p>
        </w:tc>
        <w:tc>
          <w:tcPr>
            <w:tcW w:w="5153" w:type="dxa"/>
            <w:vAlign w:val="center"/>
          </w:tcPr>
          <w:p>
            <w:pPr>
              <w:spacing w:line="24" w:lineRule="atLeast"/>
              <w:rPr>
                <w:rFonts w:ascii="宋体" w:hAnsi="宋体"/>
                <w:color w:val="FF0000"/>
                <w:szCs w:val="21"/>
              </w:rPr>
            </w:pPr>
            <w:r>
              <w:rPr>
                <w:rFonts w:hint="eastAsia" w:ascii="宋体" w:hAnsi="宋体"/>
                <w:color w:val="FF0000"/>
                <w:szCs w:val="21"/>
              </w:rPr>
              <w:t>履约担保的形式：</w:t>
            </w:r>
            <w:r>
              <w:rPr>
                <w:rFonts w:hint="eastAsia" w:ascii="宋体" w:hAnsi="宋体"/>
                <w:color w:val="FF0000"/>
                <w:szCs w:val="21"/>
                <w:lang w:eastAsia="zh-CN"/>
              </w:rPr>
              <w:t>转账</w:t>
            </w:r>
            <w:r>
              <w:rPr>
                <w:rFonts w:hint="eastAsia" w:ascii="宋体" w:hAnsi="宋体"/>
                <w:color w:val="FF0000"/>
                <w:szCs w:val="21"/>
              </w:rPr>
              <w:t>支票（履约保证金在竞争选取确定书发出后5个工作日内缴纳，逾期缴纳的视为弃权中选资格）。</w:t>
            </w:r>
          </w:p>
          <w:p>
            <w:pPr>
              <w:spacing w:line="288" w:lineRule="auto"/>
              <w:rPr>
                <w:rFonts w:ascii="宋体" w:hAnsi="宋体" w:cs="宋体"/>
                <w:bCs/>
                <w:szCs w:val="21"/>
              </w:rPr>
            </w:pPr>
            <w:r>
              <w:rPr>
                <w:rFonts w:hint="eastAsia" w:ascii="宋体" w:hAnsi="宋体"/>
                <w:color w:val="FF0000"/>
                <w:szCs w:val="21"/>
              </w:rPr>
              <w:t>履约担保的金额：</w:t>
            </w:r>
            <w:r>
              <w:rPr>
                <w:rFonts w:hint="eastAsia" w:ascii="宋体" w:hAnsi="宋体" w:cs="Arial"/>
                <w:color w:val="FF0000"/>
                <w:kern w:val="0"/>
                <w:szCs w:val="21"/>
              </w:rPr>
              <w:t>中选单位履约担保金额为中选价的10%。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3.6</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是否允许递交备选竞投方案</w:t>
            </w:r>
          </w:p>
        </w:tc>
        <w:tc>
          <w:tcPr>
            <w:tcW w:w="5153" w:type="dxa"/>
            <w:vAlign w:val="center"/>
          </w:tcPr>
          <w:p>
            <w:pPr>
              <w:spacing w:line="288" w:lineRule="auto"/>
              <w:rPr>
                <w:rFonts w:ascii="宋体" w:hAnsi="宋体" w:cs="宋体"/>
                <w:szCs w:val="21"/>
              </w:rPr>
            </w:pPr>
            <w:r>
              <w:rPr>
                <w:rFonts w:hint="eastAsia" w:ascii="宋体" w:hAnsi="宋体" w:cs="宋体"/>
                <w:szCs w:val="21"/>
                <w:bdr w:val="single" w:color="auto" w:sz="4" w:space="0"/>
              </w:rPr>
              <w:t>√</w:t>
            </w:r>
            <w:r>
              <w:rPr>
                <w:rFonts w:hint="eastAsia" w:ascii="宋体" w:hAnsi="宋体" w:cs="宋体"/>
                <w:szCs w:val="21"/>
              </w:rPr>
              <w:t>不允许</w:t>
            </w:r>
          </w:p>
          <w:p>
            <w:pPr>
              <w:numPr>
                <w:ilvl w:val="0"/>
                <w:numId w:val="1"/>
              </w:numPr>
              <w:spacing w:line="288" w:lineRule="auto"/>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3.7.3</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签字或盖章要求</w:t>
            </w:r>
          </w:p>
        </w:tc>
        <w:tc>
          <w:tcPr>
            <w:tcW w:w="5153" w:type="dxa"/>
            <w:vAlign w:val="center"/>
          </w:tcPr>
          <w:p>
            <w:pPr>
              <w:autoSpaceDE w:val="0"/>
              <w:autoSpaceDN w:val="0"/>
              <w:adjustRightInd w:val="0"/>
              <w:spacing w:line="288" w:lineRule="auto"/>
              <w:ind w:firstLine="420" w:firstLineChars="200"/>
              <w:rPr>
                <w:rFonts w:ascii="宋体" w:hAnsi="宋体" w:cs="宋体"/>
                <w:szCs w:val="21"/>
              </w:rPr>
            </w:pPr>
            <w:r>
              <w:rPr>
                <w:rFonts w:hint="eastAsia" w:ascii="宋体" w:hAnsi="宋体" w:cs="宋体"/>
                <w:szCs w:val="21"/>
              </w:rPr>
              <w:t xml:space="preserve">1.竞投文件封面：由法定代表人或其法定授权代理人签字并加盖单位公章； </w:t>
            </w:r>
          </w:p>
          <w:p>
            <w:pPr>
              <w:autoSpaceDE w:val="0"/>
              <w:autoSpaceDN w:val="0"/>
              <w:adjustRightInd w:val="0"/>
              <w:spacing w:line="288" w:lineRule="auto"/>
              <w:ind w:firstLine="420" w:firstLineChars="200"/>
              <w:rPr>
                <w:rFonts w:ascii="宋体" w:hAnsi="宋体" w:cs="宋体"/>
                <w:szCs w:val="21"/>
              </w:rPr>
            </w:pPr>
            <w:r>
              <w:rPr>
                <w:rFonts w:hint="eastAsia" w:ascii="宋体" w:hAnsi="宋体" w:cs="宋体"/>
                <w:szCs w:val="21"/>
              </w:rPr>
              <w:t xml:space="preserve">2.承诺书：由法定代表人或其法定授权代理人签字并加盖单位章； </w:t>
            </w:r>
          </w:p>
          <w:p>
            <w:pPr>
              <w:spacing w:line="288" w:lineRule="auto"/>
              <w:ind w:firstLine="420" w:firstLineChars="200"/>
              <w:rPr>
                <w:rFonts w:ascii="宋体" w:hAnsi="宋体" w:cs="宋体"/>
                <w:szCs w:val="21"/>
              </w:rPr>
            </w:pPr>
            <w:r>
              <w:rPr>
                <w:rFonts w:hint="eastAsia" w:ascii="宋体" w:hAnsi="宋体" w:cs="宋体"/>
                <w:szCs w:val="21"/>
              </w:rPr>
              <w:t xml:space="preserve">3.竞投总价：由法定代表人或其法定授权代理人签字、加盖单位章； </w:t>
            </w:r>
          </w:p>
          <w:p>
            <w:pPr>
              <w:autoSpaceDE w:val="0"/>
              <w:autoSpaceDN w:val="0"/>
              <w:adjustRightInd w:val="0"/>
              <w:spacing w:line="288" w:lineRule="auto"/>
              <w:ind w:firstLine="420" w:firstLineChars="200"/>
              <w:rPr>
                <w:rFonts w:ascii="宋体" w:hAnsi="宋体" w:cs="宋体"/>
                <w:szCs w:val="21"/>
              </w:rPr>
            </w:pPr>
            <w:r>
              <w:rPr>
                <w:rFonts w:hint="eastAsia" w:ascii="宋体" w:hAnsi="宋体" w:cs="宋体"/>
                <w:szCs w:val="21"/>
              </w:rPr>
              <w:t xml:space="preserve">4.法定代表人身份证明：有单位公章； </w:t>
            </w:r>
          </w:p>
          <w:p>
            <w:pPr>
              <w:autoSpaceDE w:val="0"/>
              <w:autoSpaceDN w:val="0"/>
              <w:adjustRightInd w:val="0"/>
              <w:spacing w:line="288" w:lineRule="auto"/>
              <w:ind w:firstLine="420" w:firstLineChars="200"/>
              <w:rPr>
                <w:rFonts w:ascii="宋体" w:hAnsi="宋体" w:cs="宋体"/>
                <w:szCs w:val="21"/>
              </w:rPr>
            </w:pPr>
            <w:r>
              <w:rPr>
                <w:rFonts w:hint="eastAsia" w:ascii="宋体" w:hAnsi="宋体" w:cs="宋体"/>
                <w:szCs w:val="21"/>
              </w:rPr>
              <w:t>5.法定代表人授权委托证明书：有法定代表人签字并加盖单位公章。</w:t>
            </w:r>
          </w:p>
          <w:p>
            <w:pPr>
              <w:autoSpaceDE w:val="0"/>
              <w:autoSpaceDN w:val="0"/>
              <w:adjustRightInd w:val="0"/>
              <w:spacing w:line="288" w:lineRule="auto"/>
              <w:ind w:firstLine="422" w:firstLineChars="200"/>
              <w:rPr>
                <w:rFonts w:ascii="宋体" w:hAnsi="宋体" w:cs="宋体"/>
                <w:b/>
                <w:szCs w:val="21"/>
              </w:rPr>
            </w:pPr>
            <w:r>
              <w:rPr>
                <w:rFonts w:hint="eastAsia" w:ascii="宋体" w:hAnsi="宋体" w:cs="宋体"/>
                <w:b/>
                <w:szCs w:val="21"/>
              </w:rPr>
              <w:t>6.所有复印件均需加盖单位章。</w:t>
            </w:r>
          </w:p>
          <w:p>
            <w:pPr>
              <w:spacing w:line="288" w:lineRule="auto"/>
              <w:ind w:firstLine="420" w:firstLineChars="200"/>
              <w:rPr>
                <w:rFonts w:ascii="宋体" w:hAnsi="宋体" w:cs="宋体"/>
                <w:szCs w:val="21"/>
              </w:rPr>
            </w:pPr>
            <w:r>
              <w:rPr>
                <w:rFonts w:hint="eastAsia" w:ascii="宋体" w:hAnsi="宋体" w:cs="宋体"/>
                <w:szCs w:val="21"/>
              </w:rPr>
              <w:t>签字要求：文件中要求由法定代表人或法定授权代理人签字处须由法定代表人或法定授权代理人签字（不允许盖私章代替签字）；</w:t>
            </w:r>
          </w:p>
          <w:p>
            <w:pPr>
              <w:spacing w:line="288" w:lineRule="auto"/>
              <w:ind w:firstLine="420" w:firstLineChars="200"/>
              <w:rPr>
                <w:rFonts w:ascii="宋体" w:hAnsi="宋体" w:cs="宋体"/>
                <w:szCs w:val="21"/>
              </w:rPr>
            </w:pPr>
            <w:r>
              <w:rPr>
                <w:rFonts w:hint="eastAsia" w:ascii="宋体" w:hAnsi="宋体" w:cs="宋体"/>
                <w:szCs w:val="21"/>
              </w:rPr>
              <w:t>盖章要求：文件中要求加盖公章处需加盖公章。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3.7.4</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竞投文件份数</w:t>
            </w:r>
          </w:p>
        </w:tc>
        <w:tc>
          <w:tcPr>
            <w:tcW w:w="5153" w:type="dxa"/>
            <w:vAlign w:val="center"/>
          </w:tcPr>
          <w:p>
            <w:pPr>
              <w:autoSpaceDE w:val="0"/>
              <w:autoSpaceDN w:val="0"/>
              <w:adjustRightInd w:val="0"/>
              <w:spacing w:line="288" w:lineRule="auto"/>
              <w:ind w:right="180" w:firstLine="422" w:firstLineChars="200"/>
              <w:rPr>
                <w:rFonts w:ascii="宋体" w:hAnsi="宋体" w:cs="宋体"/>
                <w:szCs w:val="21"/>
              </w:rPr>
            </w:pPr>
            <w:r>
              <w:rPr>
                <w:rFonts w:hint="eastAsia" w:ascii="宋体" w:hAnsi="宋体" w:cs="宋体"/>
                <w:b/>
                <w:szCs w:val="21"/>
              </w:rPr>
              <w:t>资格竞投文件、基本资料竞投文件和经济竞投文件均为一式五份（其中正本1份，副本4份。</w:t>
            </w:r>
            <w:r>
              <w:rPr>
                <w:rFonts w:hint="eastAsia" w:ascii="宋体" w:hAnsi="宋体" w:cs="宋体"/>
                <w:szCs w:val="21"/>
              </w:rPr>
              <w:t>正副本封面均须加盖竞投单位公章，在正副本的封面右上角注明“正本”或“副本”）。按3.7.3要求签字和盖章。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3.7.5</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竞投文件编制要求</w:t>
            </w:r>
          </w:p>
        </w:tc>
        <w:tc>
          <w:tcPr>
            <w:tcW w:w="5153" w:type="dxa"/>
            <w:vAlign w:val="center"/>
          </w:tcPr>
          <w:p>
            <w:pPr>
              <w:spacing w:line="288" w:lineRule="auto"/>
              <w:ind w:firstLine="420" w:firstLineChars="200"/>
              <w:rPr>
                <w:rFonts w:ascii="宋体" w:hAnsi="宋体" w:cs="宋体"/>
                <w:szCs w:val="21"/>
              </w:rPr>
            </w:pPr>
            <w:r>
              <w:rPr>
                <w:rFonts w:hint="eastAsia" w:ascii="宋体" w:hAnsi="宋体" w:cs="宋体"/>
                <w:szCs w:val="21"/>
              </w:rPr>
              <w:t>资格竞投文件编制要求：按3.1.1.1（1）至（10）顺序编制；</w:t>
            </w:r>
          </w:p>
          <w:p>
            <w:pPr>
              <w:spacing w:line="288" w:lineRule="auto"/>
              <w:ind w:firstLine="420" w:firstLineChars="200"/>
              <w:rPr>
                <w:rFonts w:ascii="宋体" w:hAnsi="宋体" w:cs="宋体"/>
                <w:szCs w:val="21"/>
              </w:rPr>
            </w:pPr>
            <w:r>
              <w:rPr>
                <w:rFonts w:hint="eastAsia" w:ascii="宋体" w:hAnsi="宋体" w:cs="宋体"/>
                <w:szCs w:val="21"/>
              </w:rPr>
              <w:t>经济竞投文件编制要求：按3.1.1.2（1）至（5）顺序编制；</w:t>
            </w:r>
          </w:p>
          <w:p>
            <w:pPr>
              <w:spacing w:line="288" w:lineRule="auto"/>
              <w:ind w:firstLine="420" w:firstLineChars="200"/>
              <w:rPr>
                <w:rFonts w:ascii="宋体" w:hAnsi="宋体" w:cs="宋体"/>
                <w:szCs w:val="21"/>
              </w:rPr>
            </w:pPr>
            <w:r>
              <w:rPr>
                <w:rFonts w:hint="eastAsia" w:ascii="宋体" w:hAnsi="宋体" w:cs="宋体"/>
                <w:szCs w:val="21"/>
              </w:rPr>
              <w:t>基本资料竞投文件编制要求：按3.1.1.3（1）至（2）顺序编制。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4.1.2</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封套上写明</w:t>
            </w:r>
          </w:p>
          <w:p>
            <w:pPr>
              <w:spacing w:line="288" w:lineRule="auto"/>
              <w:jc w:val="center"/>
              <w:rPr>
                <w:rFonts w:ascii="宋体" w:hAnsi="宋体" w:cs="宋体"/>
                <w:szCs w:val="21"/>
              </w:rPr>
            </w:pPr>
            <w:r>
              <w:rPr>
                <w:rFonts w:hint="eastAsia" w:ascii="宋体" w:hAnsi="宋体" w:cs="宋体"/>
                <w:szCs w:val="21"/>
              </w:rPr>
              <w:t>（适用于纸质竞投文件）</w:t>
            </w:r>
          </w:p>
        </w:tc>
        <w:tc>
          <w:tcPr>
            <w:tcW w:w="5153" w:type="dxa"/>
            <w:vAlign w:val="center"/>
          </w:tcPr>
          <w:p>
            <w:pPr>
              <w:spacing w:line="288" w:lineRule="auto"/>
              <w:rPr>
                <w:rFonts w:ascii="宋体" w:hAnsi="宋体" w:cs="宋体"/>
                <w:szCs w:val="21"/>
                <w:u w:val="single"/>
              </w:rPr>
            </w:pPr>
            <w:r>
              <w:rPr>
                <w:rFonts w:hint="eastAsia" w:ascii="宋体" w:hAnsi="宋体" w:cs="宋体"/>
                <w:szCs w:val="21"/>
              </w:rPr>
              <w:t>建设单位（项目需求单位）地址：</w:t>
            </w:r>
            <w:r>
              <w:rPr>
                <w:rFonts w:hint="eastAsia" w:ascii="宋体" w:hAnsi="宋体"/>
                <w:szCs w:val="21"/>
                <w:u w:val="single"/>
                <w:lang w:val="en-US" w:eastAsia="zh-CN"/>
              </w:rPr>
              <w:t>中山市小榄镇东宝南路</w:t>
            </w:r>
            <w:r>
              <w:rPr>
                <w:rFonts w:hint="eastAsia" w:ascii="宋体" w:hAnsi="宋体"/>
                <w:color w:val="0000FF"/>
                <w:szCs w:val="21"/>
                <w:u w:val="single"/>
                <w:lang w:val="en-US" w:eastAsia="zh-CN"/>
              </w:rPr>
              <w:t>1</w:t>
            </w:r>
            <w:r>
              <w:rPr>
                <w:rFonts w:hint="eastAsia" w:ascii="宋体" w:hAnsi="宋体"/>
                <w:szCs w:val="21"/>
                <w:u w:val="single"/>
                <w:lang w:val="en-US" w:eastAsia="zh-CN"/>
              </w:rPr>
              <w:t>号</w:t>
            </w:r>
          </w:p>
          <w:p>
            <w:pPr>
              <w:spacing w:line="288" w:lineRule="auto"/>
              <w:rPr>
                <w:rFonts w:ascii="宋体" w:hAnsi="宋体" w:cs="宋体"/>
                <w:szCs w:val="21"/>
                <w:u w:val="single"/>
              </w:rPr>
            </w:pPr>
            <w:r>
              <w:rPr>
                <w:rFonts w:hint="eastAsia" w:ascii="宋体" w:hAnsi="宋体" w:cs="宋体"/>
                <w:szCs w:val="21"/>
              </w:rPr>
              <w:t>建设单位（项目需求单位）名称：</w:t>
            </w:r>
            <w:r>
              <w:rPr>
                <w:rFonts w:hint="eastAsia" w:ascii="宋体" w:hAnsi="宋体"/>
                <w:szCs w:val="21"/>
                <w:u w:val="single"/>
              </w:rPr>
              <w:t>中山市小榄镇</w:t>
            </w:r>
            <w:r>
              <w:rPr>
                <w:rFonts w:hint="eastAsia" w:ascii="宋体" w:hAnsi="宋体"/>
                <w:szCs w:val="21"/>
                <w:u w:val="single"/>
                <w:lang w:eastAsia="zh-CN"/>
              </w:rPr>
              <w:t>盛丰</w:t>
            </w:r>
            <w:r>
              <w:rPr>
                <w:rFonts w:hint="eastAsia" w:ascii="宋体" w:hAnsi="宋体"/>
                <w:szCs w:val="21"/>
                <w:u w:val="single"/>
              </w:rPr>
              <w:t>股份合作经济联合社</w:t>
            </w:r>
          </w:p>
          <w:p>
            <w:pPr>
              <w:spacing w:line="288" w:lineRule="auto"/>
              <w:rPr>
                <w:rFonts w:ascii="宋体" w:hAnsi="宋体" w:cs="宋体"/>
                <w:szCs w:val="21"/>
              </w:rPr>
            </w:pPr>
            <w:r>
              <w:rPr>
                <w:rFonts w:hint="eastAsia" w:ascii="宋体" w:hAnsi="宋体" w:cs="宋体"/>
                <w:szCs w:val="21"/>
                <w:u w:val="single"/>
                <w:lang w:eastAsia="zh-CN"/>
              </w:rPr>
              <w:t>祥益东路12号厂区-厂房二工程</w:t>
            </w:r>
            <w:r>
              <w:rPr>
                <w:rFonts w:hint="eastAsia" w:ascii="宋体" w:hAnsi="宋体" w:cs="宋体"/>
                <w:szCs w:val="21"/>
              </w:rPr>
              <w:t>竞投文件</w:t>
            </w:r>
          </w:p>
          <w:p>
            <w:pPr>
              <w:spacing w:line="288" w:lineRule="auto"/>
              <w:rPr>
                <w:rFonts w:ascii="宋体" w:hAnsi="宋体" w:cs="宋体"/>
                <w:szCs w:val="21"/>
              </w:rPr>
            </w:pPr>
            <w:r>
              <w:rPr>
                <w:rFonts w:hint="eastAsia" w:ascii="宋体" w:hAnsi="宋体" w:cs="宋体"/>
                <w:szCs w:val="21"/>
              </w:rPr>
              <w:t>在2023年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:00前不得开启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4.2.2</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递交竞投文件地点</w:t>
            </w:r>
          </w:p>
        </w:tc>
        <w:tc>
          <w:tcPr>
            <w:tcW w:w="5153" w:type="dxa"/>
            <w:vAlign w:val="center"/>
          </w:tcPr>
          <w:p>
            <w:pPr>
              <w:spacing w:line="360" w:lineRule="auto"/>
              <w:rPr>
                <w:rFonts w:ascii="宋体" w:hAnsi="宋体" w:cs="宋体"/>
                <w:szCs w:val="21"/>
              </w:rPr>
            </w:pPr>
            <w:r>
              <w:rPr>
                <w:rFonts w:hint="eastAsia" w:ascii="宋体" w:hAnsi="宋体" w:cs="宋体"/>
                <w:szCs w:val="21"/>
                <w:highlight w:val="none"/>
              </w:rPr>
              <w:t>中山市小榄镇城市建设和管理局招投标管理办公室（中山市小榄镇东港大道2号小榄镇人民政府第二办公区2号楼4楼）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4.2.3</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是否退还竞投文件</w:t>
            </w:r>
          </w:p>
        </w:tc>
        <w:tc>
          <w:tcPr>
            <w:tcW w:w="5153" w:type="dxa"/>
            <w:vAlign w:val="center"/>
          </w:tcPr>
          <w:p>
            <w:pPr>
              <w:spacing w:line="288" w:lineRule="auto"/>
              <w:rPr>
                <w:rFonts w:ascii="宋体" w:hAnsi="宋体" w:cs="宋体"/>
                <w:szCs w:val="21"/>
              </w:rPr>
            </w:pPr>
            <w:r>
              <w:rPr>
                <w:rFonts w:hint="eastAsia" w:ascii="宋体" w:hAnsi="宋体" w:cs="宋体"/>
                <w:szCs w:val="21"/>
              </w:rPr>
              <w:t>竞投文件不退还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5.1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竞投会时间和地点</w:t>
            </w:r>
          </w:p>
        </w:tc>
        <w:tc>
          <w:tcPr>
            <w:tcW w:w="5153" w:type="dxa"/>
            <w:vAlign w:val="center"/>
          </w:tcPr>
          <w:p>
            <w:pPr>
              <w:spacing w:line="288" w:lineRule="auto"/>
              <w:rPr>
                <w:rFonts w:ascii="宋体" w:hAnsi="宋体" w:cs="宋体"/>
                <w:szCs w:val="21"/>
              </w:rPr>
            </w:pPr>
            <w:r>
              <w:rPr>
                <w:rFonts w:hint="eastAsia" w:ascii="宋体" w:hAnsi="宋体" w:cs="宋体"/>
                <w:szCs w:val="21"/>
              </w:rPr>
              <w:t>竞投会时间：2023年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:00</w:t>
            </w:r>
          </w:p>
          <w:p>
            <w:pPr>
              <w:spacing w:line="360" w:lineRule="auto"/>
              <w:rPr>
                <w:rFonts w:ascii="宋体" w:hAnsi="宋体" w:cs="宋体"/>
                <w:szCs w:val="21"/>
              </w:rPr>
            </w:pPr>
            <w:r>
              <w:rPr>
                <w:rFonts w:hint="eastAsia" w:ascii="宋体" w:hAnsi="宋体" w:cs="宋体"/>
                <w:szCs w:val="21"/>
              </w:rPr>
              <w:t>竞投会地点</w:t>
            </w:r>
            <w:r>
              <w:rPr>
                <w:rFonts w:hint="eastAsia" w:ascii="宋体" w:hAnsi="宋体" w:cs="宋体"/>
                <w:szCs w:val="21"/>
                <w:lang w:eastAsia="zh-CN"/>
              </w:rPr>
              <w:t>：</w:t>
            </w:r>
            <w:r>
              <w:rPr>
                <w:rFonts w:hint="eastAsia" w:ascii="宋体" w:hAnsi="宋体" w:cs="宋体"/>
                <w:szCs w:val="21"/>
                <w:highlight w:val="none"/>
              </w:rPr>
              <w:t>中山市小榄镇城市建设和管理局招投标管理办公室（中山市小榄镇东港大道2号小榄镇人民政府第二办公区2号楼4楼）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5.2</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竞投会程序</w:t>
            </w:r>
          </w:p>
        </w:tc>
        <w:tc>
          <w:tcPr>
            <w:tcW w:w="5153" w:type="dxa"/>
            <w:vAlign w:val="center"/>
          </w:tcPr>
          <w:p>
            <w:pPr>
              <w:spacing w:line="288" w:lineRule="auto"/>
              <w:rPr>
                <w:rFonts w:ascii="宋体" w:hAnsi="宋体" w:cs="宋体"/>
                <w:szCs w:val="21"/>
              </w:rPr>
            </w:pPr>
            <w:r>
              <w:rPr>
                <w:rFonts w:hint="eastAsia" w:ascii="宋体" w:hAnsi="宋体" w:cs="宋体"/>
                <w:szCs w:val="21"/>
              </w:rPr>
              <w:t>详见竞投单位须知总则5.2。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6"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6.1.1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评审委员会的组建</w:t>
            </w:r>
          </w:p>
        </w:tc>
        <w:tc>
          <w:tcPr>
            <w:tcW w:w="5153" w:type="dxa"/>
          </w:tcPr>
          <w:p>
            <w:pPr>
              <w:spacing w:line="288" w:lineRule="auto"/>
              <w:ind w:left="525" w:hanging="525" w:hangingChars="250"/>
              <w:rPr>
                <w:rFonts w:ascii="宋体" w:hAnsi="宋体" w:cs="宋体"/>
                <w:szCs w:val="21"/>
              </w:rPr>
            </w:pPr>
            <w:r>
              <w:rPr>
                <w:rFonts w:hint="eastAsia" w:ascii="宋体" w:hAnsi="宋体" w:cs="宋体"/>
                <w:szCs w:val="21"/>
              </w:rPr>
              <w:t>评审委员会构成:</w:t>
            </w:r>
            <w:r>
              <w:rPr>
                <w:rFonts w:hint="eastAsia" w:ascii="宋体" w:hAnsi="宋体" w:cs="宋体"/>
                <w:szCs w:val="21"/>
                <w:u w:val="single"/>
              </w:rPr>
              <w:t xml:space="preserve"> 5 </w:t>
            </w:r>
            <w:r>
              <w:rPr>
                <w:rFonts w:hint="eastAsia" w:ascii="宋体" w:hAnsi="宋体" w:cs="宋体"/>
                <w:szCs w:val="21"/>
              </w:rPr>
              <w:t>人</w:t>
            </w:r>
          </w:p>
          <w:p>
            <w:pPr>
              <w:spacing w:line="288" w:lineRule="auto"/>
              <w:ind w:left="525" w:hanging="525" w:hangingChars="250"/>
              <w:rPr>
                <w:rFonts w:ascii="宋体" w:hAnsi="宋体" w:cs="宋体"/>
                <w:szCs w:val="21"/>
              </w:rPr>
            </w:pPr>
            <w:r>
              <w:rPr>
                <w:rFonts w:hint="eastAsia" w:ascii="宋体" w:hAnsi="宋体" w:cs="宋体"/>
                <w:szCs w:val="21"/>
              </w:rPr>
              <w:t>其中建设单位（项目需求单位）代表</w:t>
            </w:r>
            <w:r>
              <w:rPr>
                <w:rFonts w:hint="eastAsia" w:ascii="宋体" w:hAnsi="宋体" w:cs="宋体"/>
                <w:szCs w:val="21"/>
                <w:u w:val="single"/>
              </w:rPr>
              <w:t xml:space="preserve"> 0 </w:t>
            </w:r>
            <w:r>
              <w:rPr>
                <w:rFonts w:hint="eastAsia" w:ascii="宋体" w:hAnsi="宋体" w:cs="宋体"/>
                <w:szCs w:val="21"/>
              </w:rPr>
              <w:t>人,专家</w:t>
            </w:r>
            <w:r>
              <w:rPr>
                <w:rFonts w:hint="eastAsia" w:ascii="宋体" w:hAnsi="宋体" w:cs="宋体"/>
                <w:szCs w:val="21"/>
                <w:u w:val="single"/>
              </w:rPr>
              <w:t xml:space="preserve"> 5 </w:t>
            </w:r>
            <w:r>
              <w:rPr>
                <w:rFonts w:hint="eastAsia" w:ascii="宋体" w:hAnsi="宋体" w:cs="宋体"/>
                <w:szCs w:val="21"/>
              </w:rPr>
              <w:t>人：</w:t>
            </w:r>
          </w:p>
          <w:p>
            <w:pPr>
              <w:spacing w:line="288" w:lineRule="auto"/>
              <w:ind w:left="1995" w:hanging="1995" w:hangingChars="950"/>
              <w:rPr>
                <w:rFonts w:ascii="宋体" w:hAnsi="宋体" w:cs="宋体"/>
                <w:szCs w:val="21"/>
              </w:rPr>
            </w:pPr>
            <w:r>
              <w:rPr>
                <w:rFonts w:hint="eastAsia" w:ascii="宋体" w:hAnsi="宋体" w:cs="宋体"/>
                <w:szCs w:val="21"/>
              </w:rPr>
              <w:t>评审专家确定方式：</w:t>
            </w:r>
          </w:p>
          <w:p>
            <w:pPr>
              <w:spacing w:line="288" w:lineRule="auto"/>
              <w:rPr>
                <w:rFonts w:ascii="宋体" w:hAnsi="宋体" w:cs="宋体"/>
                <w:szCs w:val="21"/>
                <w:u w:val="single"/>
              </w:rPr>
            </w:pPr>
            <w:r>
              <w:rPr>
                <w:rFonts w:hint="eastAsia" w:ascii="宋体" w:hAnsi="宋体" w:cs="宋体"/>
                <w:color w:val="FF0000"/>
                <w:szCs w:val="21"/>
              </w:rPr>
              <w:t>在中山市小榄镇评审人员库中随机抽取。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7.1</w:t>
            </w:r>
          </w:p>
        </w:tc>
        <w:tc>
          <w:tcPr>
            <w:tcW w:w="3877" w:type="dxa"/>
            <w:vAlign w:val="center"/>
          </w:tcPr>
          <w:p>
            <w:pPr>
              <w:spacing w:line="288" w:lineRule="auto"/>
              <w:jc w:val="center"/>
              <w:rPr>
                <w:rFonts w:ascii="宋体" w:hAnsi="宋体" w:cs="宋体"/>
                <w:szCs w:val="21"/>
              </w:rPr>
            </w:pPr>
            <w:r>
              <w:rPr>
                <w:rFonts w:hint="eastAsia" w:ascii="宋体" w:hAnsi="宋体" w:cs="宋体"/>
                <w:szCs w:val="21"/>
              </w:rPr>
              <w:t>是否授权评审委员会确定中选人</w:t>
            </w:r>
          </w:p>
        </w:tc>
        <w:tc>
          <w:tcPr>
            <w:tcW w:w="5153" w:type="dxa"/>
            <w:vAlign w:val="center"/>
          </w:tcPr>
          <w:p>
            <w:pPr>
              <w:spacing w:line="288" w:lineRule="auto"/>
              <w:rPr>
                <w:rFonts w:ascii="宋体" w:hAnsi="宋体" w:cs="宋体"/>
                <w:szCs w:val="21"/>
              </w:rPr>
            </w:pPr>
            <w:r>
              <w:rPr>
                <w:rFonts w:hint="eastAsia" w:ascii="宋体" w:hAnsi="宋体" w:cs="宋体"/>
                <w:szCs w:val="21"/>
              </w:rPr>
              <w:t>□是</w:t>
            </w:r>
          </w:p>
          <w:p>
            <w:pPr>
              <w:spacing w:line="288" w:lineRule="auto"/>
              <w:rPr>
                <w:rFonts w:ascii="宋体" w:hAnsi="宋体" w:cs="宋体"/>
                <w:szCs w:val="21"/>
              </w:rPr>
            </w:pPr>
            <w:r>
              <w:rPr>
                <w:rFonts w:hint="eastAsia" w:ascii="宋体" w:hAnsi="宋体" w:cs="宋体"/>
                <w:szCs w:val="21"/>
              </w:rPr>
              <w:t>☑否,推荐的中选候选人数：3人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10</w:t>
            </w:r>
          </w:p>
        </w:tc>
        <w:tc>
          <w:tcPr>
            <w:tcW w:w="9030" w:type="dxa"/>
            <w:gridSpan w:val="2"/>
            <w:vAlign w:val="center"/>
          </w:tcPr>
          <w:p>
            <w:pPr>
              <w:spacing w:line="288" w:lineRule="auto"/>
              <w:jc w:val="center"/>
              <w:rPr>
                <w:rFonts w:ascii="宋体" w:hAnsi="宋体" w:cs="宋体"/>
                <w:szCs w:val="21"/>
              </w:rPr>
            </w:pPr>
            <w:r>
              <w:rPr>
                <w:rFonts w:hint="eastAsia" w:ascii="宋体" w:hAnsi="宋体" w:cs="宋体"/>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10.1</w:t>
            </w:r>
          </w:p>
        </w:tc>
        <w:tc>
          <w:tcPr>
            <w:tcW w:w="9030" w:type="dxa"/>
            <w:gridSpan w:val="2"/>
            <w:vAlign w:val="center"/>
          </w:tcPr>
          <w:p>
            <w:pPr>
              <w:spacing w:line="288" w:lineRule="auto"/>
              <w:rPr>
                <w:rFonts w:ascii="宋体" w:hAnsi="宋体" w:cs="宋体"/>
                <w:szCs w:val="21"/>
              </w:rPr>
            </w:pPr>
            <w:r>
              <w:rPr>
                <w:rFonts w:hint="eastAsia" w:ascii="宋体" w:hAnsi="宋体" w:cs="宋体"/>
                <w:szCs w:val="21"/>
              </w:rPr>
              <w:t>项目管理机构基本要求：详见《项目管理机构主要人员配置表》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10.2</w:t>
            </w:r>
          </w:p>
        </w:tc>
        <w:tc>
          <w:tcPr>
            <w:tcW w:w="9030" w:type="dxa"/>
            <w:gridSpan w:val="2"/>
            <w:vAlign w:val="center"/>
          </w:tcPr>
          <w:p>
            <w:pPr>
              <w:spacing w:line="288" w:lineRule="auto"/>
              <w:rPr>
                <w:rFonts w:ascii="宋体" w:hAnsi="宋体" w:cs="宋体"/>
                <w:szCs w:val="21"/>
              </w:rPr>
            </w:pPr>
            <w:r>
              <w:rPr>
                <w:rFonts w:hint="eastAsia" w:ascii="宋体" w:hAnsi="宋体" w:cs="宋体"/>
                <w:szCs w:val="21"/>
              </w:rPr>
              <w:t>否决性条款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10.3</w:t>
            </w:r>
          </w:p>
        </w:tc>
        <w:tc>
          <w:tcPr>
            <w:tcW w:w="9030" w:type="dxa"/>
            <w:gridSpan w:val="2"/>
            <w:vAlign w:val="center"/>
          </w:tcPr>
          <w:p>
            <w:pPr>
              <w:spacing w:line="288" w:lineRule="auto"/>
              <w:rPr>
                <w:rFonts w:ascii="宋体" w:hAnsi="宋体" w:cs="宋体"/>
                <w:szCs w:val="21"/>
              </w:rPr>
            </w:pPr>
            <w:r>
              <w:rPr>
                <w:rFonts w:hint="eastAsia" w:ascii="宋体" w:hAnsi="宋体" w:cs="宋体"/>
                <w:szCs w:val="21"/>
              </w:rPr>
              <w:t>竞投报价上限值及绿色施工安全防护措施费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10.4</w:t>
            </w:r>
          </w:p>
        </w:tc>
        <w:tc>
          <w:tcPr>
            <w:tcW w:w="9030" w:type="dxa"/>
            <w:gridSpan w:val="2"/>
            <w:vAlign w:val="center"/>
          </w:tcPr>
          <w:p>
            <w:pPr>
              <w:spacing w:line="288" w:lineRule="auto"/>
              <w:rPr>
                <w:rFonts w:ascii="宋体" w:hAnsi="宋体" w:cs="宋体"/>
                <w:szCs w:val="21"/>
              </w:rPr>
            </w:pPr>
            <w:r>
              <w:rPr>
                <w:rFonts w:hint="eastAsia" w:ascii="宋体" w:hAnsi="宋体" w:cs="宋体"/>
                <w:szCs w:val="21"/>
              </w:rPr>
              <w:t>竞投控制价和承包标准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10.5</w:t>
            </w:r>
          </w:p>
        </w:tc>
        <w:tc>
          <w:tcPr>
            <w:tcW w:w="9030" w:type="dxa"/>
            <w:gridSpan w:val="2"/>
            <w:vAlign w:val="center"/>
          </w:tcPr>
          <w:p>
            <w:pPr>
              <w:spacing w:line="288" w:lineRule="auto"/>
              <w:rPr>
                <w:rFonts w:ascii="宋体" w:hAnsi="宋体" w:cs="宋体"/>
                <w:szCs w:val="21"/>
              </w:rPr>
            </w:pPr>
            <w:r>
              <w:rPr>
                <w:rFonts w:hint="eastAsia" w:ascii="宋体" w:hAnsi="宋体" w:cs="宋体"/>
                <w:szCs w:val="21"/>
              </w:rPr>
              <w:t>竞投文件均须由总公司盖章，不允许盖分公司章。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10.6</w:t>
            </w:r>
          </w:p>
        </w:tc>
        <w:tc>
          <w:tcPr>
            <w:tcW w:w="9030" w:type="dxa"/>
            <w:gridSpan w:val="2"/>
            <w:vAlign w:val="center"/>
          </w:tcPr>
          <w:p>
            <w:pPr>
              <w:spacing w:line="288" w:lineRule="auto"/>
              <w:rPr>
                <w:rFonts w:ascii="宋体" w:hAnsi="宋体" w:cs="宋体"/>
                <w:szCs w:val="21"/>
              </w:rPr>
            </w:pPr>
            <w:r>
              <w:rPr>
                <w:rFonts w:hint="eastAsia" w:ascii="宋体" w:hAnsi="宋体" w:cs="宋体"/>
                <w:szCs w:val="21"/>
              </w:rPr>
              <w:t>竞投会前须提交原件及其它资料备查（备查资料无需密封，竞投会上出具，否则竞投文件不予受理）：（1）有效法定代表人证明书（法定代表人亲自参加竞投会会时须提供本人身份证原件）；（2）委托人身份证及授权委托书（委托人参加竞投的提供）；（3）营业执照（如果竞投单位营业执照为三证合一，可提供原件或复印件加盖竞投单位公章）；（4）安全生产许可证（有效期内的纸质证书原件及复印件；或清晰打印可扫描二维码的电子证书，加盖竞投单位公章）；（5）资质证书（如资质证书上有可供查询的二维码，可提供原件或复印件加盖竞投单位公章）；（6）竞投保证金收据原件；（7）按10.1《项目管理机构主要人员配置表》中要求提供相关人员社保缴费证明原件的（近3个月：</w:t>
            </w:r>
            <w:r>
              <w:rPr>
                <w:rFonts w:hint="eastAsia" w:ascii="宋体" w:hAnsi="宋体" w:cs="宋体"/>
                <w:szCs w:val="21"/>
                <w:u w:val="single"/>
              </w:rPr>
              <w:t>202</w:t>
            </w:r>
            <w:r>
              <w:rPr>
                <w:rFonts w:hint="eastAsia" w:ascii="宋体" w:hAnsi="宋体" w:cs="宋体"/>
                <w:szCs w:val="21"/>
                <w:u w:val="single"/>
                <w:lang w:val="en-US" w:eastAsia="zh-CN"/>
              </w:rPr>
              <w:t>3</w:t>
            </w:r>
            <w:r>
              <w:rPr>
                <w:rFonts w:hint="eastAsia" w:ascii="宋体" w:hAnsi="宋体" w:cs="宋体"/>
                <w:szCs w:val="21"/>
                <w:u w:val="single"/>
              </w:rPr>
              <w:t>年</w:t>
            </w:r>
            <w:r>
              <w:rPr>
                <w:rFonts w:hint="eastAsia" w:ascii="宋体" w:hAnsi="宋体" w:cs="宋体"/>
                <w:szCs w:val="21"/>
                <w:u w:val="single"/>
                <w:lang w:val="en-US" w:eastAsia="zh-CN"/>
              </w:rPr>
              <w:t>2</w:t>
            </w:r>
            <w:r>
              <w:rPr>
                <w:rFonts w:hint="eastAsia" w:ascii="宋体" w:hAnsi="宋体" w:cs="宋体"/>
                <w:szCs w:val="21"/>
                <w:u w:val="single"/>
              </w:rPr>
              <w:t>月-</w:t>
            </w:r>
            <w:r>
              <w:rPr>
                <w:rFonts w:hint="eastAsia" w:ascii="宋体" w:hAnsi="宋体" w:cs="宋体"/>
                <w:szCs w:val="21"/>
                <w:u w:val="single"/>
                <w:lang w:val="en-US" w:eastAsia="zh-CN"/>
              </w:rPr>
              <w:t>4</w:t>
            </w:r>
            <w:r>
              <w:rPr>
                <w:rFonts w:hint="eastAsia" w:ascii="宋体" w:hAnsi="宋体" w:cs="宋体"/>
                <w:szCs w:val="21"/>
                <w:u w:val="single"/>
              </w:rPr>
              <w:t>月</w:t>
            </w:r>
            <w:r>
              <w:rPr>
                <w:rFonts w:hint="eastAsia" w:ascii="宋体" w:hAnsi="宋体" w:cs="宋体"/>
                <w:szCs w:val="21"/>
              </w:rPr>
              <w:t>）。</w:t>
            </w:r>
          </w:p>
          <w:p>
            <w:pPr>
              <w:spacing w:line="288" w:lineRule="auto"/>
              <w:ind w:firstLine="472" w:firstLineChars="225"/>
              <w:rPr>
                <w:rFonts w:ascii="宋体" w:hAnsi="宋体" w:cs="宋体"/>
                <w:sz w:val="24"/>
                <w:u w:val="single"/>
              </w:rPr>
            </w:pPr>
            <w:r>
              <w:rPr>
                <w:rFonts w:hint="eastAsia" w:ascii="宋体" w:hAnsi="宋体" w:cs="宋体"/>
                <w:szCs w:val="21"/>
                <w:u w:val="single"/>
              </w:rPr>
              <w:t>注：若营业执照、资质证、安全生产许可证均在有效期内，但需办理变更或提前续期等手续，而导致无法出示原件的，须提供原证书复印件加盖单位公章和提交行政部门出具的受理证明原件及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10.8</w:t>
            </w:r>
          </w:p>
        </w:tc>
        <w:tc>
          <w:tcPr>
            <w:tcW w:w="9030" w:type="dxa"/>
            <w:gridSpan w:val="2"/>
            <w:vAlign w:val="center"/>
          </w:tcPr>
          <w:p>
            <w:pPr>
              <w:spacing w:line="288" w:lineRule="auto"/>
              <w:rPr>
                <w:rFonts w:ascii="宋体" w:hAnsi="宋体" w:cs="宋体"/>
                <w:b/>
                <w:bCs/>
                <w:szCs w:val="21"/>
              </w:rPr>
            </w:pPr>
            <w:r>
              <w:rPr>
                <w:rFonts w:hint="eastAsia" w:ascii="宋体" w:hAnsi="宋体" w:cs="宋体"/>
              </w:rPr>
              <w:t>竞投单位竞投报价时应考虑并承担的建筑材料、人工、器械等物价上涨的风险，确定中选单位后，中选单位以中选价实行总价包干，中选价不因市场价格变化而调整。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10.9</w:t>
            </w:r>
          </w:p>
        </w:tc>
        <w:tc>
          <w:tcPr>
            <w:tcW w:w="9030" w:type="dxa"/>
            <w:gridSpan w:val="2"/>
            <w:vAlign w:val="center"/>
          </w:tcPr>
          <w:p>
            <w:pPr>
              <w:spacing w:line="288" w:lineRule="auto"/>
              <w:rPr>
                <w:rFonts w:ascii="宋体" w:hAnsi="宋体" w:cs="宋体"/>
              </w:rPr>
            </w:pPr>
            <w:r>
              <w:rPr>
                <w:rFonts w:hint="eastAsia" w:ascii="宋体" w:hAnsi="宋体" w:cs="宋体"/>
              </w:rPr>
              <w:t>竞投单位竞投报价时应将室内环境检测、实体检测及外墙淋水试验的费用考虑在内。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0" w:type="dxa"/>
            <w:vAlign w:val="center"/>
          </w:tcPr>
          <w:p>
            <w:pPr>
              <w:spacing w:line="288" w:lineRule="auto"/>
              <w:jc w:val="center"/>
              <w:rPr>
                <w:rFonts w:ascii="宋体" w:hAnsi="宋体" w:cs="宋体"/>
                <w:szCs w:val="21"/>
              </w:rPr>
            </w:pPr>
            <w:r>
              <w:rPr>
                <w:rFonts w:hint="eastAsia" w:ascii="宋体" w:hAnsi="宋体" w:cs="宋体"/>
                <w:szCs w:val="21"/>
              </w:rPr>
              <w:t>10.10</w:t>
            </w:r>
          </w:p>
        </w:tc>
        <w:tc>
          <w:tcPr>
            <w:tcW w:w="9030" w:type="dxa"/>
            <w:gridSpan w:val="2"/>
            <w:vAlign w:val="center"/>
          </w:tcPr>
          <w:p>
            <w:pPr>
              <w:spacing w:line="288" w:lineRule="auto"/>
              <w:rPr>
                <w:rFonts w:ascii="宋体" w:hAnsi="宋体" w:cs="宋体"/>
              </w:rPr>
            </w:pPr>
            <w:r>
              <w:rPr>
                <w:rFonts w:hint="eastAsia" w:ascii="宋体" w:hAnsi="宋体" w:cs="宋体"/>
              </w:rPr>
              <w:t>未尽事宜以建设单位（项目需求单位）答复、答疑为准</w:t>
            </w:r>
          </w:p>
        </w:tc>
      </w:tr>
    </w:tbl>
    <w:p>
      <w:pPr>
        <w:spacing w:line="360" w:lineRule="auto"/>
        <w:jc w:val="left"/>
        <w:rPr>
          <w:rFonts w:ascii="宋体" w:hAnsi="宋体"/>
          <w:szCs w:val="21"/>
        </w:rPr>
        <w:sectPr>
          <w:pgSz w:w="11906" w:h="16838"/>
          <w:pgMar w:top="1134" w:right="1134" w:bottom="1134" w:left="1134" w:header="851" w:footer="992" w:gutter="0"/>
          <w:cols w:space="720" w:num="1"/>
          <w:docGrid w:type="lines" w:linePitch="312" w:charSpace="0"/>
        </w:sectPr>
      </w:pPr>
    </w:p>
    <w:p>
      <w:pPr>
        <w:pStyle w:val="4"/>
      </w:pPr>
      <w:bookmarkStart w:id="11" w:name="_Toc427572485"/>
      <w:bookmarkStart w:id="12" w:name="_Toc398537310"/>
      <w:bookmarkStart w:id="13" w:name="_Toc477771263"/>
      <w:bookmarkStart w:id="14" w:name="_Toc381691731"/>
      <w:bookmarkStart w:id="15" w:name="_Toc184635071"/>
      <w:r>
        <w:rPr>
          <w:rFonts w:hint="eastAsia"/>
        </w:rPr>
        <w:t>1 ．总则</w:t>
      </w:r>
      <w:bookmarkEnd w:id="11"/>
      <w:bookmarkEnd w:id="12"/>
      <w:bookmarkEnd w:id="13"/>
      <w:bookmarkEnd w:id="14"/>
      <w:bookmarkEnd w:id="15"/>
    </w:p>
    <w:p>
      <w:pPr>
        <w:pStyle w:val="5"/>
      </w:pPr>
      <w:r>
        <w:rPr>
          <w:rFonts w:hint="eastAsia"/>
        </w:rPr>
        <w:t>1.1 项目概况</w:t>
      </w:r>
    </w:p>
    <w:p>
      <w:pPr>
        <w:spacing w:line="360" w:lineRule="auto"/>
        <w:ind w:firstLine="420" w:firstLineChars="200"/>
        <w:rPr>
          <w:rFonts w:ascii="宋体" w:hAnsi="宋体"/>
          <w:szCs w:val="21"/>
        </w:rPr>
      </w:pPr>
      <w:r>
        <w:rPr>
          <w:rFonts w:hint="eastAsia" w:ascii="宋体" w:hAnsi="宋体"/>
          <w:szCs w:val="21"/>
        </w:rPr>
        <w:t>1.1.1 根据相关的规定，本竞投项目已具备竞投条件，现对本标段施工进行竞投。</w:t>
      </w:r>
    </w:p>
    <w:p>
      <w:pPr>
        <w:spacing w:line="360" w:lineRule="auto"/>
        <w:ind w:firstLine="420" w:firstLineChars="200"/>
        <w:rPr>
          <w:rFonts w:ascii="宋体" w:hAnsi="宋体"/>
          <w:szCs w:val="21"/>
        </w:rPr>
      </w:pPr>
      <w:r>
        <w:rPr>
          <w:rFonts w:hint="eastAsia" w:ascii="宋体" w:hAnsi="宋体"/>
          <w:szCs w:val="21"/>
        </w:rPr>
        <w:t>1.1.2 本竞投项目建设单位（项目需求单位）：见竞投单位须知前附表。</w:t>
      </w:r>
    </w:p>
    <w:p>
      <w:pPr>
        <w:spacing w:line="360" w:lineRule="auto"/>
        <w:ind w:firstLine="420" w:firstLineChars="200"/>
        <w:rPr>
          <w:rFonts w:ascii="宋体" w:hAnsi="宋体"/>
          <w:szCs w:val="21"/>
        </w:rPr>
      </w:pPr>
      <w:r>
        <w:rPr>
          <w:rFonts w:hint="eastAsia" w:ascii="宋体" w:hAnsi="宋体"/>
          <w:szCs w:val="21"/>
        </w:rPr>
        <w:t>1.1.3 本标段代理单位：见竞投单位须知前附表。</w:t>
      </w:r>
    </w:p>
    <w:p>
      <w:pPr>
        <w:spacing w:line="360" w:lineRule="auto"/>
        <w:ind w:firstLine="420" w:firstLineChars="200"/>
        <w:rPr>
          <w:rFonts w:ascii="宋体" w:hAnsi="宋体"/>
          <w:szCs w:val="21"/>
        </w:rPr>
      </w:pPr>
      <w:r>
        <w:rPr>
          <w:rFonts w:hint="eastAsia" w:ascii="宋体" w:hAnsi="宋体"/>
          <w:szCs w:val="21"/>
        </w:rPr>
        <w:t>1.1.4 本竞投项目名称：见竞投单位须知前附表。</w:t>
      </w:r>
    </w:p>
    <w:p>
      <w:pPr>
        <w:spacing w:line="360" w:lineRule="auto"/>
        <w:ind w:firstLine="420" w:firstLineChars="200"/>
        <w:rPr>
          <w:rFonts w:ascii="宋体" w:hAnsi="宋体"/>
          <w:szCs w:val="21"/>
        </w:rPr>
      </w:pPr>
      <w:r>
        <w:rPr>
          <w:rFonts w:hint="eastAsia" w:ascii="宋体" w:hAnsi="宋体"/>
          <w:szCs w:val="21"/>
        </w:rPr>
        <w:t>1.1.5 本标段建设地点：见竞投单位须知前附表。</w:t>
      </w:r>
    </w:p>
    <w:p>
      <w:pPr>
        <w:pStyle w:val="5"/>
      </w:pPr>
      <w:r>
        <w:rPr>
          <w:rFonts w:hint="eastAsia"/>
        </w:rPr>
        <w:t>1.2 资金来源和落实情况</w:t>
      </w:r>
    </w:p>
    <w:p>
      <w:pPr>
        <w:spacing w:line="360" w:lineRule="auto"/>
        <w:ind w:firstLine="420" w:firstLineChars="200"/>
        <w:rPr>
          <w:rFonts w:ascii="宋体" w:hAnsi="宋体"/>
          <w:szCs w:val="21"/>
        </w:rPr>
      </w:pPr>
      <w:r>
        <w:rPr>
          <w:rFonts w:hint="eastAsia" w:ascii="宋体" w:hAnsi="宋体"/>
          <w:szCs w:val="21"/>
        </w:rPr>
        <w:t>1.2.1 本竞投项目的资金来源：见竞投单位须知前附表。</w:t>
      </w:r>
    </w:p>
    <w:p>
      <w:pPr>
        <w:spacing w:line="360" w:lineRule="auto"/>
        <w:ind w:firstLine="420" w:firstLineChars="200"/>
        <w:rPr>
          <w:rFonts w:ascii="宋体" w:hAnsi="宋体"/>
          <w:szCs w:val="21"/>
        </w:rPr>
      </w:pPr>
      <w:r>
        <w:rPr>
          <w:rFonts w:hint="eastAsia" w:ascii="宋体" w:hAnsi="宋体"/>
          <w:szCs w:val="21"/>
        </w:rPr>
        <w:t>1.2.2 本竞投项目的出资比例：见竞投单位须知前附表。</w:t>
      </w:r>
    </w:p>
    <w:p>
      <w:pPr>
        <w:spacing w:line="360" w:lineRule="auto"/>
        <w:ind w:firstLine="420" w:firstLineChars="200"/>
        <w:rPr>
          <w:rFonts w:ascii="宋体" w:hAnsi="宋体"/>
          <w:szCs w:val="21"/>
        </w:rPr>
      </w:pPr>
      <w:r>
        <w:rPr>
          <w:rFonts w:hint="eastAsia" w:ascii="宋体" w:hAnsi="宋体"/>
          <w:szCs w:val="21"/>
        </w:rPr>
        <w:t>1.2.3 本竞投项目的资金落实情况：见竞投单位须知前附表。</w:t>
      </w:r>
    </w:p>
    <w:p>
      <w:pPr>
        <w:pStyle w:val="5"/>
      </w:pPr>
      <w:r>
        <w:rPr>
          <w:rFonts w:hint="eastAsia"/>
        </w:rPr>
        <w:t>1.3 竞投范围、计划工期、质量和</w:t>
      </w:r>
      <w:r>
        <w:rPr>
          <w:rFonts w:hint="eastAsia" w:ascii="宋体" w:hAnsi="宋体"/>
          <w:szCs w:val="21"/>
        </w:rPr>
        <w:t>安全文明施工</w:t>
      </w:r>
      <w:r>
        <w:rPr>
          <w:rFonts w:hint="eastAsia"/>
        </w:rPr>
        <w:t>要求</w:t>
      </w:r>
    </w:p>
    <w:p>
      <w:pPr>
        <w:spacing w:line="360" w:lineRule="auto"/>
        <w:ind w:firstLine="420" w:firstLineChars="200"/>
        <w:rPr>
          <w:rFonts w:ascii="宋体" w:hAnsi="宋体"/>
          <w:szCs w:val="21"/>
        </w:rPr>
      </w:pPr>
      <w:r>
        <w:rPr>
          <w:rFonts w:hint="eastAsia" w:ascii="宋体" w:hAnsi="宋体"/>
          <w:szCs w:val="21"/>
        </w:rPr>
        <w:t>1.3.1 本次竞投范围：见竞投单位须知前附表。</w:t>
      </w:r>
    </w:p>
    <w:p>
      <w:pPr>
        <w:spacing w:line="360" w:lineRule="auto"/>
        <w:ind w:firstLine="420" w:firstLineChars="200"/>
        <w:rPr>
          <w:rFonts w:ascii="宋体" w:hAnsi="宋体"/>
          <w:szCs w:val="21"/>
        </w:rPr>
      </w:pPr>
      <w:r>
        <w:rPr>
          <w:rFonts w:hint="eastAsia" w:ascii="宋体" w:hAnsi="宋体"/>
          <w:szCs w:val="21"/>
        </w:rPr>
        <w:t>1.3.2 本标段的计划工期：见竞投单位须知前附表。</w:t>
      </w:r>
    </w:p>
    <w:p>
      <w:pPr>
        <w:spacing w:line="360" w:lineRule="auto"/>
        <w:ind w:firstLine="420" w:firstLineChars="200"/>
        <w:rPr>
          <w:rFonts w:ascii="宋体" w:hAnsi="宋体"/>
          <w:szCs w:val="21"/>
        </w:rPr>
      </w:pPr>
      <w:r>
        <w:rPr>
          <w:rFonts w:hint="eastAsia" w:ascii="宋体" w:hAnsi="宋体"/>
          <w:szCs w:val="21"/>
        </w:rPr>
        <w:t>1.3.3 本标段的质量要求：见竞投单位须知前附表。</w:t>
      </w:r>
    </w:p>
    <w:p>
      <w:pPr>
        <w:spacing w:line="360" w:lineRule="auto"/>
        <w:ind w:firstLine="420" w:firstLineChars="200"/>
        <w:rPr>
          <w:rFonts w:ascii="宋体" w:hAnsi="宋体"/>
          <w:szCs w:val="21"/>
        </w:rPr>
      </w:pPr>
      <w:r>
        <w:rPr>
          <w:rFonts w:hint="eastAsia" w:ascii="宋体" w:hAnsi="宋体"/>
          <w:szCs w:val="21"/>
        </w:rPr>
        <w:t>1.3.4本标段的安全文明施工要求：见竞投单位须知前附表。</w:t>
      </w:r>
    </w:p>
    <w:p>
      <w:pPr>
        <w:pStyle w:val="5"/>
      </w:pPr>
      <w:r>
        <w:rPr>
          <w:rFonts w:hint="eastAsia"/>
        </w:rPr>
        <w:t>1.4 竞投单位资格要求</w:t>
      </w:r>
    </w:p>
    <w:p>
      <w:pPr>
        <w:spacing w:line="360" w:lineRule="auto"/>
        <w:ind w:firstLine="420" w:firstLineChars="200"/>
        <w:rPr>
          <w:rFonts w:ascii="宋体" w:hAnsi="宋体"/>
          <w:szCs w:val="21"/>
        </w:rPr>
      </w:pPr>
      <w:r>
        <w:rPr>
          <w:rFonts w:hint="eastAsia" w:ascii="宋体" w:hAnsi="宋体"/>
          <w:szCs w:val="21"/>
        </w:rPr>
        <w:t>1.4.1 竞投单位应具备承担本标段施工的资质条件、能力和信誉。</w:t>
      </w:r>
    </w:p>
    <w:p>
      <w:pPr>
        <w:spacing w:line="360" w:lineRule="auto"/>
        <w:ind w:firstLine="420" w:firstLineChars="200"/>
        <w:rPr>
          <w:rFonts w:ascii="宋体" w:hAnsi="宋体"/>
          <w:szCs w:val="21"/>
        </w:rPr>
      </w:pPr>
      <w:r>
        <w:rPr>
          <w:rFonts w:hint="eastAsia" w:ascii="宋体" w:hAnsi="宋体"/>
          <w:szCs w:val="21"/>
        </w:rPr>
        <w:t>(l）资质条件：见竞投单位须知前附表；</w:t>
      </w:r>
    </w:p>
    <w:p>
      <w:pPr>
        <w:spacing w:line="360" w:lineRule="auto"/>
        <w:ind w:firstLine="420" w:firstLineChars="200"/>
        <w:rPr>
          <w:rFonts w:ascii="宋体" w:hAnsi="宋体"/>
          <w:szCs w:val="21"/>
        </w:rPr>
      </w:pPr>
      <w:r>
        <w:rPr>
          <w:rFonts w:hint="eastAsia" w:ascii="宋体" w:hAnsi="宋体"/>
          <w:szCs w:val="21"/>
        </w:rPr>
        <w:t>(2）其他要求：</w:t>
      </w:r>
    </w:p>
    <w:p>
      <w:pPr>
        <w:spacing w:line="360" w:lineRule="auto"/>
        <w:ind w:firstLine="420" w:firstLineChars="200"/>
        <w:rPr>
          <w:rFonts w:ascii="宋体" w:hAnsi="宋体"/>
          <w:szCs w:val="21"/>
        </w:rPr>
      </w:pPr>
      <w:r>
        <w:rPr>
          <w:rFonts w:hint="eastAsia" w:ascii="宋体" w:hAnsi="宋体"/>
          <w:szCs w:val="21"/>
        </w:rPr>
        <w:t>1.4.2 竞投单位不得存在下列情形之一：</w:t>
      </w:r>
    </w:p>
    <w:p>
      <w:pPr>
        <w:spacing w:line="360" w:lineRule="auto"/>
        <w:ind w:firstLine="420" w:firstLineChars="200"/>
        <w:rPr>
          <w:rFonts w:ascii="宋体" w:hAnsi="宋体"/>
          <w:szCs w:val="21"/>
        </w:rPr>
      </w:pPr>
      <w:r>
        <w:rPr>
          <w:rFonts w:hint="eastAsia" w:ascii="宋体" w:hAnsi="宋体"/>
          <w:szCs w:val="21"/>
        </w:rPr>
        <w:t xml:space="preserve">(l）为建设单位（项目需求单位）不具有独立法人资格的附属机构（单位）; </w:t>
      </w:r>
    </w:p>
    <w:p>
      <w:pPr>
        <w:spacing w:line="360" w:lineRule="auto"/>
        <w:ind w:firstLine="420" w:firstLineChars="200"/>
        <w:rPr>
          <w:rFonts w:ascii="宋体" w:hAnsi="宋体"/>
          <w:szCs w:val="21"/>
        </w:rPr>
      </w:pPr>
      <w:r>
        <w:rPr>
          <w:rFonts w:hint="eastAsia" w:ascii="宋体" w:hAnsi="宋体"/>
          <w:szCs w:val="21"/>
        </w:rPr>
        <w:t>(2）为本竞投项目前期准备提供设计或咨询服务的，但设计施工总承包的除外；</w:t>
      </w:r>
    </w:p>
    <w:p>
      <w:pPr>
        <w:spacing w:line="360" w:lineRule="auto"/>
        <w:ind w:firstLine="420" w:firstLineChars="200"/>
        <w:rPr>
          <w:rFonts w:ascii="宋体" w:hAnsi="宋体"/>
          <w:szCs w:val="21"/>
        </w:rPr>
      </w:pPr>
      <w:r>
        <w:rPr>
          <w:rFonts w:hint="eastAsia" w:ascii="宋体" w:hAnsi="宋体"/>
          <w:szCs w:val="21"/>
        </w:rPr>
        <w:t>(3）为本竞投项目的监理人；</w:t>
      </w:r>
    </w:p>
    <w:p>
      <w:pPr>
        <w:spacing w:line="360" w:lineRule="auto"/>
        <w:ind w:firstLine="420" w:firstLineChars="200"/>
        <w:rPr>
          <w:rFonts w:ascii="宋体" w:hAnsi="宋体"/>
          <w:szCs w:val="21"/>
        </w:rPr>
      </w:pPr>
      <w:r>
        <w:rPr>
          <w:rFonts w:hint="eastAsia" w:ascii="宋体" w:hAnsi="宋体"/>
          <w:szCs w:val="21"/>
        </w:rPr>
        <w:t>(4）为本竞投项目的代建人；</w:t>
      </w:r>
    </w:p>
    <w:p>
      <w:pPr>
        <w:spacing w:line="360" w:lineRule="auto"/>
        <w:ind w:firstLine="420" w:firstLineChars="200"/>
        <w:rPr>
          <w:rFonts w:ascii="宋体" w:hAnsi="宋体"/>
          <w:szCs w:val="21"/>
        </w:rPr>
      </w:pPr>
      <w:r>
        <w:rPr>
          <w:rFonts w:hint="eastAsia" w:ascii="宋体" w:hAnsi="宋体"/>
          <w:szCs w:val="21"/>
        </w:rPr>
        <w:t>(5）为本竞投项目提供代理单位服务的；</w:t>
      </w:r>
    </w:p>
    <w:p>
      <w:pPr>
        <w:spacing w:line="360" w:lineRule="auto"/>
        <w:ind w:firstLine="420" w:firstLineChars="200"/>
        <w:rPr>
          <w:rFonts w:ascii="宋体" w:hAnsi="宋体"/>
          <w:szCs w:val="21"/>
        </w:rPr>
      </w:pPr>
      <w:r>
        <w:rPr>
          <w:rFonts w:hint="eastAsia" w:ascii="宋体" w:hAnsi="宋体"/>
          <w:szCs w:val="21"/>
        </w:rPr>
        <w:t>(6）与本竞投项目的监理人或代建人或代理单位同为一个法定代表人的；</w:t>
      </w:r>
    </w:p>
    <w:p>
      <w:pPr>
        <w:spacing w:line="360" w:lineRule="auto"/>
        <w:ind w:firstLine="420" w:firstLineChars="200"/>
        <w:rPr>
          <w:rFonts w:ascii="宋体" w:hAnsi="宋体"/>
          <w:szCs w:val="21"/>
        </w:rPr>
      </w:pPr>
      <w:r>
        <w:rPr>
          <w:rFonts w:hint="eastAsia" w:ascii="宋体" w:hAnsi="宋体"/>
          <w:szCs w:val="21"/>
        </w:rPr>
        <w:t>(7）与本竞投项目的监理人或代建人或代理单位相互控股或参股的；</w:t>
      </w:r>
    </w:p>
    <w:p>
      <w:pPr>
        <w:spacing w:line="360" w:lineRule="auto"/>
        <w:ind w:firstLine="420" w:firstLineChars="200"/>
        <w:rPr>
          <w:rFonts w:ascii="宋体" w:hAnsi="宋体"/>
          <w:szCs w:val="21"/>
        </w:rPr>
      </w:pPr>
      <w:r>
        <w:rPr>
          <w:rFonts w:hint="eastAsia" w:ascii="宋体" w:hAnsi="宋体"/>
          <w:szCs w:val="21"/>
        </w:rPr>
        <w:t>(8）与本竞投项目的监理人或代建人或代理单位相互任职或工作的；</w:t>
      </w:r>
    </w:p>
    <w:p>
      <w:pPr>
        <w:spacing w:line="360" w:lineRule="auto"/>
        <w:ind w:left="420" w:leftChars="200"/>
        <w:rPr>
          <w:rFonts w:ascii="宋体" w:hAnsi="宋体"/>
          <w:szCs w:val="21"/>
        </w:rPr>
      </w:pPr>
      <w:r>
        <w:rPr>
          <w:rFonts w:hint="eastAsia" w:ascii="宋体" w:hAnsi="宋体"/>
          <w:szCs w:val="21"/>
        </w:rPr>
        <w:t>(9）</w:t>
      </w:r>
      <w:r>
        <w:rPr>
          <w:rFonts w:hint="eastAsia"/>
        </w:rPr>
        <w:t>单位负责人与其他竞投单位为同一人或者存在控股、管理关系的；</w:t>
      </w:r>
      <w:r>
        <w:rPr>
          <w:rFonts w:hint="eastAsia"/>
        </w:rPr>
        <w:br w:type="textWrapping"/>
      </w:r>
      <w:r>
        <w:rPr>
          <w:rFonts w:hint="eastAsia" w:ascii="宋体" w:hAnsi="宋体"/>
          <w:szCs w:val="21"/>
        </w:rPr>
        <w:t>(10）处于被责令停业期内的；</w:t>
      </w:r>
    </w:p>
    <w:p>
      <w:pPr>
        <w:spacing w:line="360" w:lineRule="auto"/>
        <w:ind w:firstLine="420" w:firstLineChars="200"/>
        <w:rPr>
          <w:rFonts w:ascii="宋体" w:hAnsi="宋体"/>
          <w:szCs w:val="21"/>
        </w:rPr>
      </w:pPr>
      <w:r>
        <w:rPr>
          <w:rFonts w:hint="eastAsia" w:ascii="宋体" w:hAnsi="宋体"/>
          <w:szCs w:val="21"/>
        </w:rPr>
        <w:t>(11）处于被暂停或取消竞投资格期内的；</w:t>
      </w:r>
    </w:p>
    <w:p>
      <w:pPr>
        <w:spacing w:line="360" w:lineRule="auto"/>
        <w:ind w:firstLine="420" w:firstLineChars="200"/>
        <w:rPr>
          <w:rFonts w:ascii="宋体" w:hAnsi="宋体"/>
          <w:szCs w:val="21"/>
        </w:rPr>
      </w:pPr>
      <w:r>
        <w:rPr>
          <w:rFonts w:hint="eastAsia" w:ascii="宋体" w:hAnsi="宋体"/>
          <w:szCs w:val="21"/>
        </w:rPr>
        <w:t>(12）处于财产被接管或冻结期内的。</w:t>
      </w:r>
    </w:p>
    <w:p>
      <w:pPr>
        <w:pStyle w:val="5"/>
      </w:pPr>
      <w:r>
        <w:rPr>
          <w:rFonts w:hint="eastAsia"/>
        </w:rPr>
        <w:t>1.5 费用承担</w:t>
      </w:r>
    </w:p>
    <w:p>
      <w:pPr>
        <w:spacing w:line="360" w:lineRule="auto"/>
        <w:ind w:firstLine="420" w:firstLineChars="200"/>
        <w:rPr>
          <w:rFonts w:ascii="宋体" w:hAnsi="宋体"/>
          <w:szCs w:val="21"/>
        </w:rPr>
      </w:pPr>
      <w:r>
        <w:rPr>
          <w:rFonts w:hint="eastAsia" w:ascii="宋体" w:hAnsi="宋体"/>
          <w:szCs w:val="21"/>
        </w:rPr>
        <w:t>竞投单位准备和参加竞投活动发生的费用自理。</w:t>
      </w:r>
    </w:p>
    <w:p>
      <w:pPr>
        <w:pStyle w:val="5"/>
      </w:pPr>
      <w:r>
        <w:rPr>
          <w:rFonts w:hint="eastAsia"/>
        </w:rPr>
        <w:t>1.6 保密</w:t>
      </w:r>
    </w:p>
    <w:p>
      <w:pPr>
        <w:spacing w:line="360" w:lineRule="auto"/>
        <w:ind w:firstLine="420" w:firstLineChars="200"/>
        <w:rPr>
          <w:rFonts w:ascii="宋体" w:hAnsi="宋体"/>
          <w:szCs w:val="21"/>
        </w:rPr>
      </w:pPr>
      <w:r>
        <w:rPr>
          <w:rFonts w:hint="eastAsia" w:ascii="宋体" w:hAnsi="宋体"/>
          <w:szCs w:val="21"/>
        </w:rPr>
        <w:t>参与竞投活动的各方应对项目需求书和竞投文件中的商业和技术等秘密保密，违者应对由此造成的后果承担法律责任。</w:t>
      </w:r>
    </w:p>
    <w:p>
      <w:pPr>
        <w:pStyle w:val="5"/>
      </w:pPr>
      <w:r>
        <w:rPr>
          <w:rFonts w:hint="eastAsia"/>
        </w:rPr>
        <w:t>1.7 语言文字</w:t>
      </w:r>
    </w:p>
    <w:p>
      <w:pPr>
        <w:spacing w:line="360" w:lineRule="auto"/>
        <w:ind w:firstLine="420" w:firstLineChars="200"/>
        <w:rPr>
          <w:rFonts w:ascii="宋体" w:hAnsi="宋体"/>
          <w:szCs w:val="21"/>
        </w:rPr>
      </w:pPr>
      <w:r>
        <w:rPr>
          <w:rFonts w:hint="eastAsia" w:ascii="宋体" w:hAnsi="宋体"/>
          <w:szCs w:val="21"/>
        </w:rPr>
        <w:t>除专用术语外，与竞投有关的语言均使用中文。必要时专用术语应附有中文注释。</w:t>
      </w:r>
    </w:p>
    <w:p>
      <w:pPr>
        <w:pStyle w:val="5"/>
      </w:pPr>
      <w:r>
        <w:rPr>
          <w:rFonts w:hint="eastAsia"/>
        </w:rPr>
        <w:t>1.8 计量单位</w:t>
      </w:r>
    </w:p>
    <w:p>
      <w:pPr>
        <w:spacing w:line="360" w:lineRule="auto"/>
        <w:ind w:firstLine="420" w:firstLineChars="200"/>
        <w:rPr>
          <w:rFonts w:ascii="宋体" w:hAnsi="宋体"/>
          <w:szCs w:val="21"/>
        </w:rPr>
      </w:pPr>
      <w:r>
        <w:rPr>
          <w:rFonts w:hint="eastAsia" w:ascii="宋体" w:hAnsi="宋体"/>
          <w:szCs w:val="21"/>
        </w:rPr>
        <w:t>所有计量均采用中华人民共和国法定计量单位。</w:t>
      </w:r>
    </w:p>
    <w:p>
      <w:pPr>
        <w:pStyle w:val="5"/>
      </w:pPr>
      <w:r>
        <w:rPr>
          <w:rFonts w:hint="eastAsia"/>
        </w:rPr>
        <w:t>1.9踏勘现场</w:t>
      </w:r>
    </w:p>
    <w:p>
      <w:pPr>
        <w:spacing w:line="360" w:lineRule="auto"/>
        <w:ind w:firstLine="420" w:firstLineChars="200"/>
        <w:rPr>
          <w:rFonts w:ascii="宋体" w:hAnsi="宋体"/>
          <w:szCs w:val="21"/>
        </w:rPr>
      </w:pPr>
      <w:r>
        <w:rPr>
          <w:rFonts w:hint="eastAsia" w:ascii="宋体" w:hAnsi="宋体"/>
          <w:szCs w:val="21"/>
        </w:rPr>
        <w:t>1.9.1 本工程不集中踏勘现场，竞投单位自行决定是否踏勘现场，并结合图纸与工程量清单，将不可预见风险费用计入竞投报价中。</w:t>
      </w:r>
    </w:p>
    <w:p>
      <w:pPr>
        <w:spacing w:line="360" w:lineRule="auto"/>
        <w:ind w:firstLine="420" w:firstLineChars="200"/>
        <w:rPr>
          <w:rFonts w:ascii="宋体" w:hAnsi="宋体"/>
          <w:szCs w:val="21"/>
        </w:rPr>
      </w:pPr>
      <w:r>
        <w:rPr>
          <w:rFonts w:hint="eastAsia" w:ascii="宋体" w:hAnsi="宋体"/>
          <w:szCs w:val="21"/>
        </w:rPr>
        <w:t>1.9.2 竞投单位踏勘现场发生的费用自理。</w:t>
      </w:r>
    </w:p>
    <w:p>
      <w:pPr>
        <w:spacing w:line="360" w:lineRule="auto"/>
        <w:ind w:firstLine="420" w:firstLineChars="200"/>
        <w:rPr>
          <w:rFonts w:ascii="宋体" w:hAnsi="宋体"/>
          <w:szCs w:val="21"/>
        </w:rPr>
      </w:pPr>
      <w:r>
        <w:rPr>
          <w:rFonts w:hint="eastAsia" w:ascii="宋体" w:hAnsi="宋体"/>
          <w:szCs w:val="21"/>
        </w:rPr>
        <w:t>1.9.3 除建设单位（项目需求单位）的原因外，竞投单位自行负责在踏勘现场中所发生的人员伤亡和财产损失。</w:t>
      </w:r>
    </w:p>
    <w:p>
      <w:pPr>
        <w:spacing w:line="360" w:lineRule="auto"/>
        <w:ind w:firstLine="420" w:firstLineChars="200"/>
        <w:rPr>
          <w:rFonts w:ascii="宋体" w:hAnsi="宋体"/>
          <w:szCs w:val="21"/>
        </w:rPr>
      </w:pPr>
      <w:r>
        <w:rPr>
          <w:rFonts w:hint="eastAsia" w:ascii="宋体" w:hAnsi="宋体"/>
          <w:szCs w:val="21"/>
        </w:rPr>
        <w:t>1.9.4 建设单位（项目需求单位）在踏勘现场中介绍的工程场地和相关的周边环境情况，供竞投单位在编制竞投文件时参考，建设单位（项目需求单位）不对竞投单位据此作出的判断和决策负责。</w:t>
      </w:r>
    </w:p>
    <w:p>
      <w:pPr>
        <w:pStyle w:val="5"/>
      </w:pPr>
      <w:r>
        <w:rPr>
          <w:rFonts w:hint="eastAsia"/>
        </w:rPr>
        <w:t>1.10 竞投答疑</w:t>
      </w:r>
    </w:p>
    <w:p>
      <w:pPr>
        <w:spacing w:line="360" w:lineRule="auto"/>
        <w:ind w:firstLine="420" w:firstLineChars="200"/>
        <w:rPr>
          <w:rFonts w:ascii="宋体" w:hAnsi="宋体"/>
          <w:szCs w:val="21"/>
        </w:rPr>
      </w:pPr>
      <w:r>
        <w:rPr>
          <w:rFonts w:hint="eastAsia" w:ascii="宋体" w:hAnsi="宋体"/>
          <w:szCs w:val="21"/>
        </w:rPr>
        <w:t>1.10.1提交有关问题的，可按竞投单位须知前附表规定的时间，</w:t>
      </w:r>
      <w:r>
        <w:rPr>
          <w:rFonts w:hint="eastAsia" w:ascii="宋体" w:hAnsi="宋体"/>
          <w:b/>
          <w:bCs/>
          <w:color w:val="FF0000"/>
          <w:szCs w:val="21"/>
        </w:rPr>
        <w:t>通过竞投单位指定邮箱</w:t>
      </w:r>
      <w:r>
        <w:rPr>
          <w:rFonts w:hint="eastAsia" w:ascii="宋体" w:hAnsi="宋体"/>
          <w:bCs/>
          <w:szCs w:val="21"/>
        </w:rPr>
        <w:t>将提疑问题以WORD文档电子文件</w:t>
      </w:r>
      <w:r>
        <w:rPr>
          <w:rFonts w:hint="eastAsia" w:ascii="宋体" w:hAnsi="宋体"/>
          <w:bCs/>
          <w:color w:val="FF0000"/>
          <w:szCs w:val="21"/>
        </w:rPr>
        <w:t>（不能用图片）</w:t>
      </w:r>
      <w:r>
        <w:rPr>
          <w:rFonts w:hint="eastAsia" w:ascii="宋体" w:hAnsi="宋体"/>
          <w:bCs/>
          <w:szCs w:val="21"/>
        </w:rPr>
        <w:t>格式发送至</w:t>
      </w:r>
      <w:r>
        <w:rPr>
          <w:rFonts w:hint="eastAsia" w:ascii="宋体" w:hAnsi="宋体"/>
          <w:szCs w:val="21"/>
          <w:lang w:eastAsia="zh-CN"/>
        </w:rPr>
        <w:t>中山市小榄镇城市建设和管理局</w:t>
      </w:r>
      <w:r>
        <w:rPr>
          <w:rFonts w:hint="eastAsia" w:ascii="宋体" w:hAnsi="宋体"/>
          <w:szCs w:val="21"/>
        </w:rPr>
        <w:t>招投标管理办公室邮箱：</w:t>
      </w:r>
      <w:r>
        <w:fldChar w:fldCharType="begin"/>
      </w:r>
      <w:r>
        <w:instrText xml:space="preserve"> HYPERLINK "mailto:xlzbb@xiaolan.cn" </w:instrText>
      </w:r>
      <w:r>
        <w:fldChar w:fldCharType="separate"/>
      </w:r>
      <w:r>
        <w:rPr>
          <w:rStyle w:val="15"/>
          <w:rFonts w:hint="eastAsia" w:ascii="宋体" w:hAnsi="宋体"/>
          <w:szCs w:val="21"/>
        </w:rPr>
        <w:t>xlzbb@xiaolan.cn</w:t>
      </w:r>
      <w:r>
        <w:rPr>
          <w:rStyle w:val="15"/>
          <w:rFonts w:hint="eastAsia" w:ascii="宋体" w:hAnsi="宋体"/>
          <w:szCs w:val="21"/>
        </w:rPr>
        <w:fldChar w:fldCharType="end"/>
      </w:r>
      <w:r>
        <w:rPr>
          <w:rFonts w:hint="eastAsia" w:ascii="宋体" w:hAnsi="宋体"/>
          <w:bCs/>
          <w:szCs w:val="21"/>
        </w:rPr>
        <w:t xml:space="preserve"> ，</w:t>
      </w:r>
      <w:r>
        <w:rPr>
          <w:rFonts w:hint="eastAsia"/>
        </w:rPr>
        <w:t>且所提交的资料以无记名形式提交，不得有任何可识别竞投单位单位及人员的标识。</w:t>
      </w:r>
      <w:r>
        <w:rPr>
          <w:rFonts w:hint="eastAsia"/>
          <w:b/>
        </w:rPr>
        <w:t>如竞投单位未用指定邮箱发出并且发送提疑文件格式错误，将无法联系而导致不予接受其提疑问题等情况，后果自负。</w:t>
      </w:r>
    </w:p>
    <w:p>
      <w:pPr>
        <w:spacing w:line="360" w:lineRule="auto"/>
        <w:ind w:firstLine="420" w:firstLineChars="200"/>
        <w:rPr>
          <w:rFonts w:ascii="宋体" w:hAnsi="宋体"/>
          <w:szCs w:val="21"/>
        </w:rPr>
      </w:pPr>
      <w:r>
        <w:rPr>
          <w:rFonts w:hint="eastAsia" w:ascii="宋体" w:hAnsi="宋体"/>
          <w:szCs w:val="21"/>
        </w:rPr>
        <w:t>1.10.2</w:t>
      </w:r>
      <w:r>
        <w:rPr>
          <w:rFonts w:hint="eastAsia" w:ascii="宋体" w:hAnsi="宋体"/>
          <w:szCs w:val="21"/>
          <w:lang w:eastAsia="zh-CN"/>
        </w:rPr>
        <w:t>中山市小榄镇城市建设和管理局</w:t>
      </w:r>
      <w:r>
        <w:rPr>
          <w:rFonts w:hint="eastAsia" w:ascii="宋体" w:hAnsi="宋体"/>
          <w:szCs w:val="21"/>
        </w:rPr>
        <w:t>招投标管理办公室收集相关问题，组织有关单位人员研究并形成答疑文件（补遗书），</w:t>
      </w:r>
      <w:r>
        <w:rPr>
          <w:rFonts w:hint="eastAsia" w:ascii="宋体" w:hAnsi="宋体"/>
          <w:bCs/>
          <w:szCs w:val="21"/>
        </w:rPr>
        <w:t>由</w:t>
      </w:r>
      <w:r>
        <w:rPr>
          <w:rFonts w:hint="eastAsia" w:ascii="宋体" w:hAnsi="宋体"/>
          <w:bCs/>
          <w:szCs w:val="21"/>
          <w:lang w:eastAsia="zh-CN"/>
        </w:rPr>
        <w:t>中山市小榄镇城市建设和管理局</w:t>
      </w:r>
      <w:r>
        <w:rPr>
          <w:rFonts w:hint="eastAsia" w:ascii="宋体" w:hAnsi="宋体"/>
          <w:bCs/>
          <w:szCs w:val="21"/>
        </w:rPr>
        <w:t>招投标管理办公室统一以邮件方式回复，将回复到竞投单位指定邮箱中（必须设置自动回复功能）。</w:t>
      </w:r>
    </w:p>
    <w:p>
      <w:pPr>
        <w:spacing w:line="360" w:lineRule="auto"/>
        <w:ind w:firstLine="420" w:firstLineChars="200"/>
        <w:rPr>
          <w:rFonts w:ascii="宋体" w:hAnsi="宋体"/>
          <w:szCs w:val="21"/>
        </w:rPr>
      </w:pPr>
      <w:r>
        <w:rPr>
          <w:rFonts w:hint="eastAsia"/>
        </w:rPr>
        <w:t>各竞投单位自行查收下载答疑文件（补遗书），建设单位（项目需求单位）不再另行通知。如在前附表规定时间内未能收到答疑文件（补遗书），请及时联系</w:t>
      </w:r>
      <w:r>
        <w:rPr>
          <w:rFonts w:hint="eastAsia"/>
          <w:lang w:eastAsia="zh-CN"/>
        </w:rPr>
        <w:t>中山市小榄镇城市建设和管理局</w:t>
      </w:r>
      <w:r>
        <w:rPr>
          <w:rFonts w:hint="eastAsia"/>
        </w:rPr>
        <w:t>招投标管理办公室，若竞投单位因自身原因未能获取答疑资料造成的后果，由竞投单位自行承担。发出答疑文件（补遗书）后，建设单位（项目需求单位）（代理单位）不得要求竞投单位在获取答疑资料后向建设单位（项目需求单位）（</w:t>
      </w:r>
      <w:r>
        <w:rPr>
          <w:rFonts w:hint="eastAsia"/>
          <w:lang w:eastAsia="zh-CN"/>
        </w:rPr>
        <w:t>中山市小榄镇城市建设和管理局</w:t>
      </w:r>
      <w:r>
        <w:rPr>
          <w:rFonts w:hint="eastAsia"/>
        </w:rPr>
        <w:t>招投标管理办公室）作出确认回复。</w:t>
      </w:r>
      <w:r>
        <w:rPr>
          <w:rFonts w:hint="eastAsia" w:ascii="宋体" w:hAnsi="宋体"/>
          <w:b/>
          <w:color w:val="FF0000"/>
          <w:szCs w:val="21"/>
        </w:rPr>
        <w:t>逾期没提出有关疑问的，认定为清晰无异议，日后竞投单位不得以“对图纸、清单及</w:t>
      </w:r>
      <w:r>
        <w:rPr>
          <w:rFonts w:hint="eastAsia" w:ascii="宋体" w:hAnsi="宋体"/>
          <w:b/>
          <w:color w:val="FF0000"/>
          <w:szCs w:val="21"/>
          <w:lang w:eastAsia="zh-CN"/>
        </w:rPr>
        <w:t>项目需求书</w:t>
      </w:r>
      <w:r>
        <w:rPr>
          <w:rFonts w:hint="eastAsia" w:ascii="宋体" w:hAnsi="宋体"/>
          <w:b/>
          <w:color w:val="FF0000"/>
          <w:szCs w:val="21"/>
        </w:rPr>
        <w:t>内容不清晰”为由，向建设单位（项目需求单位）追索相关施工材料费用及技术性补助。</w:t>
      </w:r>
    </w:p>
    <w:p>
      <w:pPr>
        <w:pStyle w:val="5"/>
      </w:pPr>
      <w:r>
        <w:rPr>
          <w:rFonts w:hint="eastAsia"/>
        </w:rPr>
        <w:t>1.11 分包</w:t>
      </w:r>
    </w:p>
    <w:p>
      <w:pPr>
        <w:spacing w:line="360" w:lineRule="auto"/>
        <w:ind w:firstLine="420" w:firstLineChars="200"/>
        <w:rPr>
          <w:rFonts w:ascii="宋体" w:hAnsi="宋体"/>
          <w:szCs w:val="21"/>
        </w:rPr>
      </w:pPr>
      <w:r>
        <w:rPr>
          <w:rFonts w:hint="eastAsia" w:ascii="宋体" w:hAnsi="宋体"/>
          <w:szCs w:val="21"/>
        </w:rPr>
        <w:t>本项目不允许分包。</w:t>
      </w:r>
    </w:p>
    <w:p>
      <w:pPr>
        <w:pStyle w:val="5"/>
      </w:pPr>
      <w:r>
        <w:rPr>
          <w:rFonts w:hint="eastAsia"/>
        </w:rPr>
        <w:t>1.12 偏离</w:t>
      </w:r>
    </w:p>
    <w:p>
      <w:pPr>
        <w:spacing w:line="360" w:lineRule="auto"/>
        <w:ind w:firstLine="420" w:firstLineChars="200"/>
        <w:rPr>
          <w:rFonts w:ascii="宋体" w:hAnsi="宋体"/>
          <w:szCs w:val="21"/>
        </w:rPr>
      </w:pPr>
      <w:r>
        <w:rPr>
          <w:rFonts w:hint="eastAsia" w:ascii="宋体" w:hAnsi="宋体"/>
          <w:szCs w:val="21"/>
        </w:rPr>
        <w:t>本项目不允许偏离。</w:t>
      </w:r>
    </w:p>
    <w:p>
      <w:pPr>
        <w:pStyle w:val="4"/>
      </w:pPr>
      <w:bookmarkStart w:id="16" w:name="_Toc184635072"/>
      <w:bookmarkStart w:id="17" w:name="_Toc398537311"/>
      <w:bookmarkStart w:id="18" w:name="_Toc427572486"/>
      <w:bookmarkStart w:id="19" w:name="_Toc477771264"/>
      <w:bookmarkStart w:id="20" w:name="_Toc381691732"/>
      <w:r>
        <w:rPr>
          <w:rFonts w:hint="eastAsia"/>
        </w:rPr>
        <w:t>2．</w:t>
      </w:r>
      <w:bookmarkEnd w:id="16"/>
      <w:bookmarkEnd w:id="17"/>
      <w:bookmarkEnd w:id="18"/>
      <w:bookmarkEnd w:id="19"/>
      <w:bookmarkEnd w:id="20"/>
      <w:r>
        <w:rPr>
          <w:rFonts w:hint="eastAsia"/>
        </w:rPr>
        <w:t>项目需求书</w:t>
      </w:r>
    </w:p>
    <w:p>
      <w:pPr>
        <w:pStyle w:val="5"/>
      </w:pPr>
      <w:r>
        <w:rPr>
          <w:rFonts w:hint="eastAsia"/>
        </w:rPr>
        <w:t>2.1 项目需求书的组成</w:t>
      </w:r>
    </w:p>
    <w:p>
      <w:pPr>
        <w:spacing w:line="360" w:lineRule="auto"/>
        <w:ind w:firstLine="420" w:firstLineChars="200"/>
        <w:rPr>
          <w:rFonts w:ascii="宋体" w:hAnsi="宋体"/>
          <w:szCs w:val="21"/>
        </w:rPr>
      </w:pPr>
      <w:r>
        <w:rPr>
          <w:rFonts w:hint="eastAsia" w:ascii="宋体" w:hAnsi="宋体"/>
          <w:szCs w:val="21"/>
        </w:rPr>
        <w:t>本项目需求书包括：</w:t>
      </w:r>
    </w:p>
    <w:p>
      <w:pPr>
        <w:spacing w:line="360" w:lineRule="auto"/>
        <w:ind w:firstLine="420" w:firstLineChars="200"/>
        <w:rPr>
          <w:rFonts w:ascii="宋体" w:hAnsi="宋体"/>
          <w:szCs w:val="21"/>
        </w:rPr>
      </w:pPr>
      <w:r>
        <w:rPr>
          <w:rFonts w:hint="eastAsia" w:ascii="宋体" w:hAnsi="宋体"/>
          <w:szCs w:val="21"/>
        </w:rPr>
        <w:t xml:space="preserve">(1）信息公告; </w:t>
      </w:r>
    </w:p>
    <w:p>
      <w:pPr>
        <w:spacing w:line="360" w:lineRule="auto"/>
        <w:ind w:firstLine="420" w:firstLineChars="200"/>
        <w:rPr>
          <w:rFonts w:ascii="宋体" w:hAnsi="宋体"/>
          <w:szCs w:val="21"/>
        </w:rPr>
      </w:pPr>
      <w:r>
        <w:rPr>
          <w:rFonts w:hint="eastAsia" w:ascii="宋体" w:hAnsi="宋体"/>
          <w:szCs w:val="21"/>
        </w:rPr>
        <w:t>(2）竞投单位须知；</w:t>
      </w:r>
    </w:p>
    <w:p>
      <w:pPr>
        <w:spacing w:line="360" w:lineRule="auto"/>
        <w:ind w:firstLine="420" w:firstLineChars="200"/>
        <w:rPr>
          <w:rFonts w:ascii="宋体" w:hAnsi="宋体"/>
          <w:szCs w:val="21"/>
        </w:rPr>
      </w:pPr>
      <w:r>
        <w:rPr>
          <w:rFonts w:hint="eastAsia" w:ascii="宋体" w:hAnsi="宋体"/>
          <w:szCs w:val="21"/>
        </w:rPr>
        <w:t>(3）评审办法；</w:t>
      </w:r>
    </w:p>
    <w:p>
      <w:pPr>
        <w:spacing w:line="360" w:lineRule="auto"/>
        <w:ind w:firstLine="420" w:firstLineChars="200"/>
        <w:rPr>
          <w:rFonts w:ascii="宋体" w:hAnsi="宋体"/>
          <w:szCs w:val="21"/>
        </w:rPr>
      </w:pPr>
      <w:r>
        <w:rPr>
          <w:rFonts w:hint="eastAsia" w:ascii="宋体" w:hAnsi="宋体"/>
          <w:szCs w:val="21"/>
        </w:rPr>
        <w:t>(4）合同条款及格式；</w:t>
      </w:r>
    </w:p>
    <w:p>
      <w:pPr>
        <w:spacing w:line="360" w:lineRule="auto"/>
        <w:ind w:firstLine="420" w:firstLineChars="200"/>
        <w:rPr>
          <w:rFonts w:ascii="宋体" w:hAnsi="宋体"/>
          <w:szCs w:val="21"/>
        </w:rPr>
      </w:pPr>
      <w:r>
        <w:rPr>
          <w:rFonts w:hint="eastAsia" w:ascii="宋体" w:hAnsi="宋体"/>
          <w:szCs w:val="21"/>
        </w:rPr>
        <w:t>(5）工程量清单</w:t>
      </w:r>
    </w:p>
    <w:p>
      <w:pPr>
        <w:spacing w:line="360" w:lineRule="auto"/>
        <w:ind w:firstLine="420" w:firstLineChars="200"/>
        <w:rPr>
          <w:rFonts w:ascii="宋体" w:hAnsi="宋体"/>
          <w:szCs w:val="21"/>
        </w:rPr>
      </w:pPr>
      <w:r>
        <w:rPr>
          <w:rFonts w:hint="eastAsia" w:ascii="宋体" w:hAnsi="宋体"/>
          <w:szCs w:val="21"/>
        </w:rPr>
        <w:t>按第五章“工程量清单及工程量清单计价”的有关要求编制的工程量清单及竞投控制价（或不限于</w:t>
      </w:r>
      <w:r>
        <w:rPr>
          <w:rFonts w:hint="eastAsia" w:ascii="仿宋_GB2312" w:hAnsi="宋体"/>
          <w:szCs w:val="32"/>
        </w:rPr>
        <w:t>竞投控制价总价、竞投控制价中的分部分项工程量清单计价合计、措施项目清单计价合计、其他项目清单计价合计、税金和规费合计以及竞投控制价的上限值</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(6）图纸（另附）；</w:t>
      </w:r>
    </w:p>
    <w:p>
      <w:pPr>
        <w:spacing w:line="360" w:lineRule="auto"/>
        <w:ind w:firstLine="420" w:firstLineChars="200"/>
        <w:rPr>
          <w:rFonts w:ascii="宋体" w:hAnsi="宋体"/>
          <w:szCs w:val="21"/>
        </w:rPr>
      </w:pPr>
      <w:r>
        <w:rPr>
          <w:rFonts w:hint="eastAsia" w:ascii="宋体" w:hAnsi="宋体"/>
          <w:szCs w:val="21"/>
        </w:rPr>
        <w:t>(7）基本资料准标准要求；</w:t>
      </w:r>
    </w:p>
    <w:p>
      <w:pPr>
        <w:spacing w:line="360" w:lineRule="auto"/>
        <w:ind w:firstLine="420" w:firstLineChars="200"/>
        <w:rPr>
          <w:rFonts w:ascii="宋体" w:hAnsi="宋体"/>
          <w:szCs w:val="21"/>
        </w:rPr>
      </w:pPr>
      <w:r>
        <w:rPr>
          <w:rFonts w:hint="eastAsia" w:ascii="宋体" w:hAnsi="宋体"/>
          <w:szCs w:val="21"/>
        </w:rPr>
        <w:t>(8）竞投文件格式；</w:t>
      </w:r>
    </w:p>
    <w:p>
      <w:pPr>
        <w:spacing w:line="360" w:lineRule="auto"/>
        <w:ind w:firstLine="420" w:firstLineChars="200"/>
        <w:rPr>
          <w:rFonts w:ascii="宋体" w:hAnsi="宋体"/>
          <w:szCs w:val="21"/>
        </w:rPr>
      </w:pPr>
      <w:r>
        <w:rPr>
          <w:rFonts w:hint="eastAsia" w:ascii="宋体" w:hAnsi="宋体"/>
          <w:szCs w:val="21"/>
        </w:rPr>
        <w:t>(9）竞投单位须知前附表规定的其他材料。</w:t>
      </w:r>
    </w:p>
    <w:p>
      <w:pPr>
        <w:spacing w:line="360" w:lineRule="auto"/>
        <w:rPr>
          <w:rFonts w:ascii="宋体" w:hAnsi="宋体"/>
          <w:szCs w:val="21"/>
        </w:rPr>
      </w:pPr>
      <w:r>
        <w:rPr>
          <w:rFonts w:hint="eastAsia" w:ascii="宋体" w:hAnsi="宋体"/>
          <w:szCs w:val="21"/>
        </w:rPr>
        <w:t xml:space="preserve">   （10）需要补充的其他内容:</w:t>
      </w:r>
    </w:p>
    <w:p>
      <w:pPr>
        <w:spacing w:line="360" w:lineRule="auto"/>
        <w:ind w:firstLine="420" w:firstLineChars="200"/>
        <w:rPr>
          <w:rFonts w:ascii="宋体" w:hAnsi="宋体"/>
          <w:szCs w:val="21"/>
        </w:rPr>
      </w:pPr>
      <w:r>
        <w:rPr>
          <w:rFonts w:hint="eastAsia" w:ascii="宋体" w:hAnsi="宋体"/>
          <w:szCs w:val="21"/>
        </w:rPr>
        <w:t>《项目管理机构主要人员配置表》、否决性条款、竞投控制价上限值、绿色施工安全防护措施费、竞投控制价和承包标准。</w:t>
      </w:r>
    </w:p>
    <w:p>
      <w:pPr>
        <w:spacing w:line="360" w:lineRule="auto"/>
        <w:ind w:firstLine="420" w:firstLineChars="200"/>
        <w:rPr>
          <w:rFonts w:ascii="宋体" w:hAnsi="宋体"/>
          <w:szCs w:val="21"/>
        </w:rPr>
      </w:pPr>
      <w:r>
        <w:rPr>
          <w:rFonts w:hint="eastAsia" w:ascii="宋体" w:hAnsi="宋体"/>
          <w:szCs w:val="21"/>
        </w:rPr>
        <w:t>根据本章第1.10 款、第2.2 款和第2.3 款对项目需求书所作的澄清、修改，构成项目需求书的组成部分。</w:t>
      </w:r>
    </w:p>
    <w:p>
      <w:pPr>
        <w:pStyle w:val="5"/>
      </w:pPr>
      <w:r>
        <w:rPr>
          <w:rFonts w:hint="eastAsia"/>
        </w:rPr>
        <w:t>2.2 项目需求书的澄清</w:t>
      </w:r>
    </w:p>
    <w:p>
      <w:pPr>
        <w:spacing w:line="360" w:lineRule="auto"/>
        <w:ind w:firstLine="420" w:firstLineChars="200"/>
        <w:rPr>
          <w:rFonts w:ascii="宋体" w:hAnsi="宋体"/>
          <w:szCs w:val="21"/>
        </w:rPr>
      </w:pPr>
      <w:r>
        <w:rPr>
          <w:rFonts w:hint="eastAsia" w:ascii="宋体" w:hAnsi="宋体"/>
          <w:szCs w:val="21"/>
        </w:rPr>
        <w:t>2.2.1 竞投单位应仔细阅读和检查项目需求书的全部内容。如发现缺页或附件不全，应及时向建设单位（项目需求单位）提出，以便补齐。如有疑问，应在竞投单位须知前附表规定的时间前以网络形式，要求建设单位（项目需求单位）对项目需求书予以澄清。</w:t>
      </w:r>
    </w:p>
    <w:p>
      <w:pPr>
        <w:spacing w:line="360" w:lineRule="auto"/>
        <w:ind w:firstLine="420" w:firstLineChars="200"/>
        <w:rPr>
          <w:rFonts w:ascii="宋体" w:hAnsi="宋体"/>
          <w:szCs w:val="21"/>
        </w:rPr>
      </w:pPr>
      <w:r>
        <w:rPr>
          <w:rFonts w:hint="eastAsia" w:ascii="宋体" w:hAnsi="宋体"/>
          <w:szCs w:val="21"/>
        </w:rPr>
        <w:t>2.2.2 项目需求书的澄清</w:t>
      </w:r>
      <w:r>
        <w:rPr>
          <w:rFonts w:hint="eastAsia"/>
        </w:rPr>
        <w:t>的内容可能影响竞投文件编制的，</w:t>
      </w:r>
      <w:r>
        <w:rPr>
          <w:rFonts w:hint="eastAsia" w:ascii="宋体" w:hAnsi="宋体"/>
          <w:szCs w:val="21"/>
        </w:rPr>
        <w:t>将在竞投单位须知前附表规定的竞投截止时间</w:t>
      </w:r>
      <w:r>
        <w:rPr>
          <w:rFonts w:hint="eastAsia" w:ascii="宋体" w:hAnsi="宋体"/>
          <w:color w:val="FF0000"/>
          <w:szCs w:val="21"/>
          <w:lang w:val="en-US" w:eastAsia="zh-CN"/>
        </w:rPr>
        <w:t>15</w:t>
      </w:r>
      <w:r>
        <w:rPr>
          <w:rFonts w:hint="eastAsia" w:ascii="宋体" w:hAnsi="宋体"/>
          <w:szCs w:val="21"/>
        </w:rPr>
        <w:t>天前在按1.10.2规定发给所有竞投单位，但不指明澄清问题的来源。如果澄清发出的时间距竞投截至时间不足</w:t>
      </w:r>
      <w:r>
        <w:rPr>
          <w:rFonts w:hint="eastAsia" w:ascii="宋体" w:hAnsi="宋体"/>
          <w:color w:val="FF0000"/>
          <w:szCs w:val="21"/>
          <w:lang w:val="en-US" w:eastAsia="zh-CN"/>
        </w:rPr>
        <w:t>15</w:t>
      </w:r>
      <w:r>
        <w:rPr>
          <w:rFonts w:hint="eastAsia" w:ascii="宋体" w:hAnsi="宋体"/>
          <w:szCs w:val="21"/>
        </w:rPr>
        <w:t>天，相应延长竞投截止时间。</w:t>
      </w:r>
    </w:p>
    <w:p>
      <w:pPr>
        <w:spacing w:line="360" w:lineRule="auto"/>
        <w:ind w:firstLine="420" w:firstLineChars="200"/>
        <w:rPr>
          <w:rFonts w:ascii="宋体" w:hAnsi="宋体"/>
          <w:szCs w:val="21"/>
        </w:rPr>
      </w:pPr>
      <w:r>
        <w:rPr>
          <w:rFonts w:hint="eastAsia" w:ascii="宋体" w:hAnsi="宋体"/>
          <w:szCs w:val="21"/>
        </w:rPr>
        <w:t>2.2.3</w:t>
      </w:r>
      <w:r>
        <w:rPr>
          <w:rFonts w:hint="eastAsia"/>
        </w:rPr>
        <w:t>竞投单位应自行下载答疑文件（补遗书），建设单位（项目需求单位）不再另行通知。竞投单位因自身原因未能获取答疑资料造成的后果，由竞投单位自行承担。</w:t>
      </w:r>
    </w:p>
    <w:p>
      <w:pPr>
        <w:pStyle w:val="5"/>
      </w:pPr>
      <w:r>
        <w:rPr>
          <w:rFonts w:hint="eastAsia"/>
        </w:rPr>
        <w:t>2.3 项目需求书的修改</w:t>
      </w:r>
    </w:p>
    <w:p>
      <w:pPr>
        <w:spacing w:line="360" w:lineRule="auto"/>
        <w:ind w:firstLine="420" w:firstLineChars="200"/>
        <w:rPr>
          <w:rFonts w:ascii="宋体" w:hAnsi="宋体"/>
          <w:szCs w:val="21"/>
        </w:rPr>
      </w:pPr>
      <w:r>
        <w:rPr>
          <w:rFonts w:hint="eastAsia" w:ascii="宋体" w:hAnsi="宋体"/>
          <w:szCs w:val="21"/>
        </w:rPr>
        <w:t>2.3.1 在竞投截止时间</w:t>
      </w:r>
      <w:r>
        <w:rPr>
          <w:rFonts w:hint="eastAsia" w:ascii="宋体" w:hAnsi="宋体"/>
          <w:color w:val="FF0000"/>
          <w:szCs w:val="21"/>
          <w:lang w:val="en-US" w:eastAsia="zh-CN"/>
        </w:rPr>
        <w:t>15</w:t>
      </w:r>
      <w:r>
        <w:rPr>
          <w:rFonts w:hint="eastAsia" w:ascii="宋体" w:hAnsi="宋体"/>
          <w:szCs w:val="21"/>
        </w:rPr>
        <w:t>天前，建设单位（项目需求单位）可以修改项目需求书，并通知所有竞投单位。</w:t>
      </w:r>
      <w:r>
        <w:rPr>
          <w:rFonts w:hint="eastAsia"/>
        </w:rPr>
        <w:t>修改的内容可能影响竞投文件编制的，建设单位（项目需求单位）应当在竞投截止时间至少</w:t>
      </w:r>
      <w:r>
        <w:rPr>
          <w:rFonts w:hint="eastAsia" w:ascii="宋体" w:hAnsi="宋体"/>
          <w:color w:val="FF0000"/>
          <w:szCs w:val="21"/>
          <w:lang w:val="en-US" w:eastAsia="zh-CN"/>
        </w:rPr>
        <w:t>15</w:t>
      </w:r>
      <w:r>
        <w:rPr>
          <w:rFonts w:hint="eastAsia"/>
        </w:rPr>
        <w:t>日前，以书面形式通知所有获取项目需求书的潜在竞投单位，</w:t>
      </w:r>
      <w:r>
        <w:rPr>
          <w:rFonts w:hint="eastAsia" w:ascii="宋体" w:hAnsi="宋体"/>
          <w:szCs w:val="21"/>
        </w:rPr>
        <w:t>不足</w:t>
      </w:r>
      <w:r>
        <w:rPr>
          <w:rFonts w:hint="eastAsia" w:ascii="宋体" w:hAnsi="宋体"/>
          <w:color w:val="FF0000"/>
          <w:szCs w:val="21"/>
          <w:lang w:val="en-US" w:eastAsia="zh-CN"/>
        </w:rPr>
        <w:t>15</w:t>
      </w:r>
      <w:r>
        <w:rPr>
          <w:rFonts w:hint="eastAsia" w:ascii="宋体" w:hAnsi="宋体"/>
          <w:szCs w:val="21"/>
        </w:rPr>
        <w:t>天的，</w:t>
      </w:r>
      <w:r>
        <w:rPr>
          <w:rFonts w:hint="eastAsia"/>
        </w:rPr>
        <w:t>建设单位（项目需求单位）</w:t>
      </w:r>
      <w:r>
        <w:rPr>
          <w:rFonts w:hint="eastAsia" w:ascii="宋体" w:hAnsi="宋体"/>
          <w:szCs w:val="21"/>
        </w:rPr>
        <w:t>相应延长竞投截止时间。</w:t>
      </w:r>
    </w:p>
    <w:p>
      <w:pPr>
        <w:spacing w:line="360" w:lineRule="auto"/>
        <w:ind w:firstLine="420" w:firstLineChars="200"/>
        <w:rPr>
          <w:rFonts w:ascii="宋体" w:hAnsi="宋体"/>
          <w:szCs w:val="21"/>
        </w:rPr>
      </w:pPr>
      <w:r>
        <w:rPr>
          <w:rFonts w:hint="eastAsia" w:ascii="宋体" w:hAnsi="宋体"/>
          <w:szCs w:val="21"/>
        </w:rPr>
        <w:t>2.3.2</w:t>
      </w:r>
      <w:r>
        <w:rPr>
          <w:rFonts w:hint="eastAsia"/>
        </w:rPr>
        <w:t>竞投单位应自行下载答疑文件（补遗书），建设单位（项目需求单位）不再另行通知。竞投单位因自身原因未能获取答疑资料造成的后果，由竞投单位自行承担。</w:t>
      </w:r>
    </w:p>
    <w:p>
      <w:pPr>
        <w:pStyle w:val="4"/>
      </w:pPr>
      <w:bookmarkStart w:id="21" w:name="_Toc477771265"/>
      <w:bookmarkStart w:id="22" w:name="_Toc427572487"/>
      <w:bookmarkStart w:id="23" w:name="_Toc184635073"/>
      <w:bookmarkStart w:id="24" w:name="_Toc398537312"/>
      <w:bookmarkStart w:id="25" w:name="_Toc381691733"/>
      <w:r>
        <w:rPr>
          <w:rFonts w:hint="eastAsia"/>
        </w:rPr>
        <w:t>3．竞投文件</w:t>
      </w:r>
      <w:bookmarkEnd w:id="21"/>
      <w:bookmarkEnd w:id="22"/>
      <w:bookmarkEnd w:id="23"/>
      <w:bookmarkEnd w:id="24"/>
      <w:bookmarkEnd w:id="25"/>
    </w:p>
    <w:p>
      <w:pPr>
        <w:pStyle w:val="5"/>
      </w:pPr>
      <w:r>
        <w:rPr>
          <w:rFonts w:hint="eastAsia"/>
        </w:rPr>
        <w:t>3.1 竞投文件的组成</w:t>
      </w:r>
    </w:p>
    <w:p>
      <w:pPr>
        <w:spacing w:line="360" w:lineRule="auto"/>
        <w:ind w:firstLine="420" w:firstLineChars="200"/>
        <w:rPr>
          <w:rFonts w:ascii="宋体" w:hAnsi="宋体"/>
          <w:szCs w:val="21"/>
        </w:rPr>
      </w:pPr>
      <w:r>
        <w:rPr>
          <w:rFonts w:hint="eastAsia" w:ascii="宋体" w:hAnsi="宋体"/>
          <w:szCs w:val="21"/>
        </w:rPr>
        <w:t>3.1.1 竞投文件应包括下列内容：</w:t>
      </w:r>
    </w:p>
    <w:p>
      <w:pPr>
        <w:spacing w:line="360" w:lineRule="auto"/>
        <w:ind w:firstLine="420" w:firstLineChars="200"/>
        <w:rPr>
          <w:rFonts w:ascii="宋体" w:hAnsi="宋体"/>
          <w:szCs w:val="21"/>
        </w:rPr>
      </w:pPr>
      <w:r>
        <w:rPr>
          <w:rFonts w:hint="eastAsia" w:ascii="宋体" w:hAnsi="宋体"/>
          <w:szCs w:val="21"/>
        </w:rPr>
        <w:t>3.1.1.1 资格竞投文件</w:t>
      </w:r>
      <w:r>
        <w:rPr>
          <w:rFonts w:hint="eastAsia" w:ascii="宋体" w:hAnsi="宋体"/>
          <w:bCs/>
          <w:szCs w:val="21"/>
        </w:rPr>
        <w:t xml:space="preserve"> </w:t>
      </w:r>
    </w:p>
    <w:p>
      <w:pPr>
        <w:spacing w:line="360" w:lineRule="auto"/>
        <w:ind w:firstLine="420" w:firstLineChars="200"/>
        <w:rPr>
          <w:rFonts w:ascii="宋体" w:hAnsi="宋体"/>
          <w:szCs w:val="21"/>
        </w:rPr>
      </w:pPr>
      <w:r>
        <w:rPr>
          <w:rFonts w:hint="eastAsia" w:ascii="宋体" w:hAnsi="宋体"/>
          <w:szCs w:val="21"/>
        </w:rPr>
        <w:t>（1）封面；</w:t>
      </w:r>
    </w:p>
    <w:p>
      <w:pPr>
        <w:spacing w:line="360" w:lineRule="auto"/>
        <w:ind w:firstLine="420" w:firstLineChars="200"/>
        <w:rPr>
          <w:rFonts w:ascii="宋体" w:hAnsi="宋体"/>
          <w:szCs w:val="21"/>
        </w:rPr>
      </w:pPr>
      <w:r>
        <w:rPr>
          <w:rFonts w:hint="eastAsia" w:ascii="宋体" w:hAnsi="宋体"/>
          <w:szCs w:val="21"/>
        </w:rPr>
        <w:t>（2）目录；</w:t>
      </w:r>
    </w:p>
    <w:p>
      <w:pPr>
        <w:spacing w:line="360" w:lineRule="auto"/>
        <w:ind w:firstLine="420" w:firstLineChars="200"/>
        <w:rPr>
          <w:rFonts w:ascii="宋体" w:hAnsi="宋体"/>
          <w:szCs w:val="21"/>
        </w:rPr>
      </w:pPr>
      <w:r>
        <w:rPr>
          <w:rFonts w:hint="eastAsia" w:ascii="宋体" w:hAnsi="宋体"/>
          <w:szCs w:val="21"/>
        </w:rPr>
        <w:t>（3）有效法定代表人证明原件及法定代表人身份证（复印件加盖公章）；</w:t>
      </w:r>
    </w:p>
    <w:p>
      <w:pPr>
        <w:spacing w:line="360" w:lineRule="auto"/>
        <w:ind w:firstLine="420" w:firstLineChars="200"/>
        <w:rPr>
          <w:rFonts w:ascii="宋体" w:hAnsi="宋体"/>
          <w:szCs w:val="21"/>
        </w:rPr>
      </w:pPr>
      <w:r>
        <w:rPr>
          <w:rFonts w:hint="eastAsia" w:ascii="宋体" w:hAnsi="宋体"/>
          <w:szCs w:val="21"/>
        </w:rPr>
        <w:t>（4）授权委托书原件及法定授权代理人身份证（复印件加盖公章）（法定授权代理人参加竞投的提供）；</w:t>
      </w:r>
    </w:p>
    <w:p>
      <w:pPr>
        <w:spacing w:line="360" w:lineRule="auto"/>
        <w:ind w:firstLine="420" w:firstLineChars="200"/>
        <w:rPr>
          <w:rFonts w:ascii="宋体" w:hAnsi="宋体"/>
          <w:szCs w:val="21"/>
        </w:rPr>
      </w:pPr>
      <w:r>
        <w:rPr>
          <w:rFonts w:hint="eastAsia" w:ascii="宋体" w:hAnsi="宋体"/>
          <w:szCs w:val="21"/>
        </w:rPr>
        <w:t>（5）有效的营业执照（复印件加盖公章）；</w:t>
      </w:r>
    </w:p>
    <w:p>
      <w:pPr>
        <w:spacing w:line="360" w:lineRule="auto"/>
        <w:ind w:firstLine="420" w:firstLineChars="200"/>
        <w:rPr>
          <w:rFonts w:ascii="宋体" w:hAnsi="宋体"/>
          <w:szCs w:val="21"/>
        </w:rPr>
      </w:pPr>
      <w:r>
        <w:rPr>
          <w:rFonts w:hint="eastAsia" w:ascii="宋体" w:hAnsi="宋体"/>
          <w:szCs w:val="21"/>
        </w:rPr>
        <w:t>（6）资质证书（复印件加盖公章）；</w:t>
      </w:r>
    </w:p>
    <w:p>
      <w:pPr>
        <w:spacing w:line="360" w:lineRule="auto"/>
        <w:ind w:firstLine="420" w:firstLineChars="200"/>
        <w:rPr>
          <w:rFonts w:ascii="宋体" w:hAnsi="宋体"/>
          <w:szCs w:val="21"/>
        </w:rPr>
      </w:pPr>
      <w:r>
        <w:rPr>
          <w:rFonts w:hint="eastAsia" w:ascii="宋体" w:hAnsi="宋体"/>
          <w:szCs w:val="21"/>
        </w:rPr>
        <w:t>（7）安全生产许可证（复印件加盖公章）；</w:t>
      </w:r>
    </w:p>
    <w:p>
      <w:pPr>
        <w:spacing w:line="360" w:lineRule="auto"/>
        <w:ind w:firstLine="420" w:firstLineChars="200"/>
        <w:rPr>
          <w:rFonts w:ascii="宋体" w:hAnsi="宋体"/>
          <w:szCs w:val="21"/>
        </w:rPr>
      </w:pPr>
      <w:r>
        <w:rPr>
          <w:rFonts w:hint="eastAsia" w:ascii="宋体" w:hAnsi="宋体"/>
          <w:szCs w:val="21"/>
        </w:rPr>
        <w:t>（8）竞投保证金收据复印件；</w:t>
      </w:r>
    </w:p>
    <w:p>
      <w:pPr>
        <w:spacing w:line="360" w:lineRule="auto"/>
        <w:ind w:firstLine="420" w:firstLineChars="200"/>
        <w:rPr>
          <w:rFonts w:ascii="宋体" w:hAnsi="宋体"/>
          <w:szCs w:val="21"/>
        </w:rPr>
      </w:pPr>
      <w:r>
        <w:rPr>
          <w:rFonts w:hint="eastAsia" w:ascii="宋体" w:hAnsi="宋体"/>
          <w:szCs w:val="21"/>
        </w:rPr>
        <w:t>（9）其他（注：所有复印件须加盖公章）</w:t>
      </w:r>
    </w:p>
    <w:p>
      <w:pPr>
        <w:spacing w:line="360" w:lineRule="auto"/>
        <w:ind w:firstLine="420" w:firstLineChars="200"/>
        <w:rPr>
          <w:rFonts w:ascii="宋体" w:hAnsi="宋体"/>
          <w:bCs/>
          <w:szCs w:val="21"/>
        </w:rPr>
      </w:pPr>
      <w:r>
        <w:rPr>
          <w:rFonts w:hint="eastAsia" w:ascii="宋体" w:hAnsi="宋体"/>
          <w:szCs w:val="21"/>
        </w:rPr>
        <w:t>3.1.1.2</w:t>
      </w:r>
      <w:r>
        <w:rPr>
          <w:rFonts w:hint="eastAsia" w:ascii="宋体" w:hAnsi="宋体"/>
          <w:bCs/>
          <w:szCs w:val="21"/>
        </w:rPr>
        <w:t>经济竞投文件</w:t>
      </w:r>
    </w:p>
    <w:p>
      <w:pPr>
        <w:spacing w:line="360" w:lineRule="auto"/>
        <w:ind w:firstLine="420" w:firstLineChars="200"/>
        <w:rPr>
          <w:rFonts w:ascii="宋体" w:hAnsi="宋体"/>
          <w:bCs/>
          <w:szCs w:val="21"/>
        </w:rPr>
      </w:pPr>
      <w:r>
        <w:rPr>
          <w:rFonts w:hint="eastAsia" w:ascii="宋体" w:hAnsi="宋体"/>
          <w:bCs/>
          <w:szCs w:val="21"/>
        </w:rPr>
        <w:t>（1）封面；</w:t>
      </w:r>
    </w:p>
    <w:p>
      <w:pPr>
        <w:spacing w:line="360" w:lineRule="auto"/>
        <w:ind w:firstLine="420" w:firstLineChars="200"/>
        <w:rPr>
          <w:rFonts w:ascii="宋体" w:hAnsi="宋体"/>
          <w:bCs/>
          <w:szCs w:val="21"/>
        </w:rPr>
      </w:pPr>
      <w:r>
        <w:rPr>
          <w:rFonts w:hint="eastAsia" w:ascii="宋体" w:hAnsi="宋体"/>
          <w:bCs/>
          <w:szCs w:val="21"/>
        </w:rPr>
        <w:t>（2）目录；</w:t>
      </w:r>
    </w:p>
    <w:p>
      <w:pPr>
        <w:spacing w:line="360" w:lineRule="auto"/>
        <w:ind w:firstLine="420" w:firstLineChars="200"/>
        <w:rPr>
          <w:rFonts w:ascii="宋体" w:hAnsi="宋体"/>
          <w:bCs/>
          <w:szCs w:val="21"/>
        </w:rPr>
      </w:pPr>
      <w:r>
        <w:rPr>
          <w:rFonts w:hint="eastAsia" w:ascii="宋体" w:hAnsi="宋体"/>
          <w:szCs w:val="21"/>
        </w:rPr>
        <w:t>（3）竞投报价汇总表；</w:t>
      </w:r>
    </w:p>
    <w:p>
      <w:pPr>
        <w:spacing w:line="360" w:lineRule="auto"/>
        <w:ind w:firstLine="420" w:firstLineChars="200"/>
        <w:rPr>
          <w:rFonts w:ascii="宋体" w:hAnsi="宋体"/>
          <w:szCs w:val="21"/>
        </w:rPr>
      </w:pPr>
      <w:r>
        <w:rPr>
          <w:rFonts w:hint="eastAsia" w:ascii="宋体" w:hAnsi="宋体"/>
          <w:szCs w:val="21"/>
        </w:rPr>
        <w:t>（4）已标价工程量清单（包括材料价格明细表、综合单价分析表）；</w:t>
      </w:r>
    </w:p>
    <w:p>
      <w:pPr>
        <w:spacing w:line="360" w:lineRule="auto"/>
        <w:ind w:firstLine="420" w:firstLineChars="200"/>
        <w:rPr>
          <w:rFonts w:ascii="宋体" w:hAnsi="宋体"/>
          <w:szCs w:val="21"/>
        </w:rPr>
      </w:pPr>
      <w:r>
        <w:rPr>
          <w:rFonts w:hint="eastAsia" w:ascii="宋体" w:hAnsi="宋体"/>
          <w:szCs w:val="21"/>
        </w:rPr>
        <w:t>（5）其他。</w:t>
      </w:r>
    </w:p>
    <w:p>
      <w:pPr>
        <w:spacing w:line="360" w:lineRule="auto"/>
        <w:ind w:firstLine="420" w:firstLineChars="200"/>
        <w:rPr>
          <w:rFonts w:ascii="宋体" w:hAnsi="宋体"/>
          <w:szCs w:val="21"/>
        </w:rPr>
      </w:pPr>
      <w:r>
        <w:rPr>
          <w:rFonts w:hint="eastAsia" w:ascii="宋体" w:hAnsi="宋体"/>
          <w:bCs/>
          <w:szCs w:val="21"/>
        </w:rPr>
        <w:t>3.1.1.3</w:t>
      </w:r>
      <w:r>
        <w:rPr>
          <w:rFonts w:hint="eastAsia" w:ascii="宋体" w:hAnsi="宋体"/>
          <w:szCs w:val="21"/>
        </w:rPr>
        <w:t>基本资料竞投文件</w:t>
      </w:r>
    </w:p>
    <w:p>
      <w:pPr>
        <w:spacing w:line="360" w:lineRule="auto"/>
        <w:ind w:firstLine="420" w:firstLineChars="200"/>
        <w:rPr>
          <w:rFonts w:ascii="宋体" w:hAnsi="宋体"/>
          <w:szCs w:val="21"/>
        </w:rPr>
      </w:pPr>
      <w:r>
        <w:rPr>
          <w:rFonts w:hint="eastAsia" w:ascii="宋体" w:hAnsi="宋体"/>
          <w:szCs w:val="21"/>
        </w:rPr>
        <w:t>（一）封面、目录</w:t>
      </w:r>
      <w:r>
        <w:rPr>
          <w:rFonts w:hint="eastAsia" w:ascii="宋体" w:hAnsi="宋体"/>
          <w:bCs/>
          <w:szCs w:val="21"/>
        </w:rPr>
        <w:t xml:space="preserve"> </w:t>
      </w:r>
    </w:p>
    <w:p>
      <w:pPr>
        <w:spacing w:line="360" w:lineRule="auto"/>
        <w:ind w:firstLine="420" w:firstLineChars="200"/>
        <w:rPr>
          <w:rFonts w:ascii="宋体" w:hAnsi="宋体"/>
          <w:szCs w:val="21"/>
        </w:rPr>
      </w:pPr>
      <w:r>
        <w:rPr>
          <w:rFonts w:hint="eastAsia" w:ascii="宋体" w:hAnsi="宋体"/>
          <w:szCs w:val="21"/>
        </w:rPr>
        <w:t>（1）承诺书；</w:t>
      </w:r>
    </w:p>
    <w:p>
      <w:pPr>
        <w:spacing w:line="360" w:lineRule="auto"/>
        <w:ind w:firstLine="420" w:firstLineChars="200"/>
        <w:rPr>
          <w:rFonts w:ascii="宋体" w:hAnsi="宋体"/>
          <w:szCs w:val="21"/>
        </w:rPr>
      </w:pPr>
      <w:r>
        <w:rPr>
          <w:rFonts w:hint="eastAsia" w:ascii="宋体" w:hAnsi="宋体"/>
          <w:szCs w:val="21"/>
        </w:rPr>
        <w:t>（2）《项目管理机构主要人员配置表》；</w:t>
      </w:r>
    </w:p>
    <w:p>
      <w:pPr>
        <w:pStyle w:val="5"/>
      </w:pPr>
      <w:r>
        <w:rPr>
          <w:rFonts w:hint="eastAsia"/>
        </w:rPr>
        <w:t>3.2 竞投报价</w:t>
      </w:r>
    </w:p>
    <w:p>
      <w:pPr>
        <w:spacing w:line="360" w:lineRule="auto"/>
        <w:ind w:firstLine="420" w:firstLineChars="200"/>
        <w:rPr>
          <w:rFonts w:ascii="宋体" w:hAnsi="宋体"/>
          <w:szCs w:val="21"/>
        </w:rPr>
      </w:pPr>
      <w:r>
        <w:rPr>
          <w:rFonts w:hint="eastAsia" w:ascii="宋体" w:hAnsi="宋体"/>
          <w:szCs w:val="21"/>
        </w:rPr>
        <w:t>3.2.1 竞投单位的注册造价师（造价员）应按第五章“工程量清单及工程量清单计价”的要求填写相应表格，并在经济竞投文件封面签字。或委托具有相应资质的工程造价咨询公司的注册造价师（造价员）编制并签字。</w:t>
      </w:r>
    </w:p>
    <w:p>
      <w:pPr>
        <w:spacing w:line="360" w:lineRule="auto"/>
        <w:ind w:firstLine="420" w:firstLineChars="200"/>
        <w:rPr>
          <w:rFonts w:ascii="宋体" w:hAnsi="宋体"/>
          <w:szCs w:val="21"/>
        </w:rPr>
      </w:pPr>
      <w:r>
        <w:rPr>
          <w:rFonts w:hint="eastAsia" w:ascii="宋体" w:hAnsi="宋体"/>
          <w:szCs w:val="21"/>
        </w:rPr>
        <w:t>3.2.2 竞投单位在竞投截止时间前修改竞投总报价，应同时修改经济竞投文件（竞投报价）中清单中的相应报价。此修改须符合本章第4.3 款的有关要求。</w:t>
      </w:r>
    </w:p>
    <w:p>
      <w:pPr>
        <w:pStyle w:val="5"/>
      </w:pPr>
      <w:r>
        <w:rPr>
          <w:rFonts w:hint="eastAsia"/>
        </w:rPr>
        <w:t>3.3 竞投有效期</w:t>
      </w:r>
    </w:p>
    <w:p>
      <w:pPr>
        <w:spacing w:line="460" w:lineRule="atLeast"/>
        <w:ind w:firstLine="420" w:firstLineChars="200"/>
        <w:rPr>
          <w:rFonts w:ascii="宋体" w:hAnsi="宋体"/>
          <w:szCs w:val="21"/>
        </w:rPr>
      </w:pPr>
      <w:r>
        <w:rPr>
          <w:rFonts w:hint="eastAsia" w:ascii="宋体" w:hAnsi="宋体"/>
          <w:szCs w:val="21"/>
        </w:rPr>
        <w:t>3.3.1 在竞投单位须知前附表规定的竞投有效期内，竞投单位不得要求撤销或修改其竞投文件。</w:t>
      </w:r>
    </w:p>
    <w:p>
      <w:pPr>
        <w:spacing w:line="460" w:lineRule="atLeast"/>
        <w:ind w:firstLine="420" w:firstLineChars="200"/>
        <w:rPr>
          <w:rFonts w:ascii="宋体" w:hAnsi="宋体"/>
          <w:szCs w:val="21"/>
        </w:rPr>
      </w:pPr>
      <w:r>
        <w:rPr>
          <w:rFonts w:hint="eastAsia" w:ascii="宋体" w:hAnsi="宋体"/>
          <w:szCs w:val="21"/>
        </w:rPr>
        <w:t>3.3.2 出现特殊情况需要延长竞投有效期的，建设单位（项目需求单位）以书面形式通知所有竞投单位延长竞投有效期。竞投单位同意延长的，应相应延长其竞投保证金的有效期，但不得要求或被允许修改或撤销其竞投文件；竞投单位拒绝延长的，其竞投失效，但竞投单位有权收回其竞投保证金。</w:t>
      </w:r>
    </w:p>
    <w:p>
      <w:pPr>
        <w:pStyle w:val="5"/>
        <w:spacing w:line="460" w:lineRule="atLeast"/>
      </w:pPr>
      <w:r>
        <w:rPr>
          <w:rFonts w:hint="eastAsia"/>
        </w:rPr>
        <w:t>3.4 竞投保证金</w:t>
      </w:r>
    </w:p>
    <w:p>
      <w:pPr>
        <w:spacing w:line="460" w:lineRule="atLeast"/>
        <w:ind w:firstLine="420" w:firstLineChars="200"/>
        <w:rPr>
          <w:rFonts w:ascii="宋体" w:hAnsi="宋体"/>
          <w:b/>
          <w:szCs w:val="21"/>
        </w:rPr>
      </w:pPr>
      <w:r>
        <w:rPr>
          <w:rFonts w:hint="eastAsia" w:ascii="宋体" w:hAnsi="宋体"/>
          <w:szCs w:val="21"/>
        </w:rPr>
        <w:t>3.4.1 竞投单位应按竞投单位须知前附表规定的金额、形式和时间缴纳竞投保证金。建设单位（项目需求单位）不接受同一账户分多次转账或由多个账户转账的方式缴纳竞投保证金。</w:t>
      </w:r>
      <w:r>
        <w:rPr>
          <w:rFonts w:hint="eastAsia" w:ascii="宋体" w:hAnsi="宋体"/>
          <w:b/>
          <w:szCs w:val="21"/>
        </w:rPr>
        <w:t>转账的账户必须是竞投单位的基本账户</w:t>
      </w:r>
      <w:r>
        <w:rPr>
          <w:rFonts w:hint="eastAsia" w:ascii="宋体" w:hAnsi="宋体"/>
          <w:szCs w:val="21"/>
        </w:rPr>
        <w:t>，且缴纳竞投保证金必须以转账方式缴纳。</w:t>
      </w:r>
      <w:r>
        <w:rPr>
          <w:rFonts w:hint="eastAsia" w:ascii="宋体" w:hAnsi="宋体"/>
          <w:b/>
          <w:szCs w:val="21"/>
        </w:rPr>
        <w:t>竞投保证金只向缴纳竞投保证金的账户退还。</w:t>
      </w:r>
    </w:p>
    <w:p>
      <w:pPr>
        <w:spacing w:line="460" w:lineRule="atLeast"/>
        <w:ind w:firstLine="422" w:firstLineChars="200"/>
        <w:rPr>
          <w:rFonts w:ascii="宋体" w:hAnsi="宋体"/>
          <w:b/>
          <w:color w:val="FF0000"/>
          <w:szCs w:val="21"/>
        </w:rPr>
      </w:pPr>
      <w:r>
        <w:rPr>
          <w:rFonts w:hint="eastAsia" w:ascii="宋体" w:hAnsi="宋体"/>
          <w:b/>
          <w:color w:val="FF0000"/>
          <w:szCs w:val="21"/>
        </w:rPr>
        <w:t>缴纳竞投保证金到账截止时间以竞投须知前附表规定时间为准，并在竞投会前到建设单位（项目需求单位）处开具收据，如到账时间超过规定时间或未能在竞投会时提供收据原件，取消竞投资格。</w:t>
      </w:r>
    </w:p>
    <w:p>
      <w:pPr>
        <w:spacing w:line="460" w:lineRule="atLeast"/>
        <w:ind w:firstLine="420" w:firstLineChars="200"/>
        <w:rPr>
          <w:rFonts w:ascii="宋体" w:hAnsi="宋体"/>
          <w:szCs w:val="21"/>
        </w:rPr>
      </w:pPr>
      <w:r>
        <w:rPr>
          <w:rFonts w:hint="eastAsia" w:ascii="宋体" w:hAnsi="宋体"/>
          <w:szCs w:val="21"/>
        </w:rPr>
        <w:t>3.4.2 竞投单位不按本章第3.4.1 项要求提交竞投保证金的，其竞投文件不予受理。</w:t>
      </w:r>
    </w:p>
    <w:p>
      <w:pPr>
        <w:spacing w:line="460" w:lineRule="atLeast"/>
        <w:ind w:firstLine="420" w:firstLineChars="200"/>
        <w:rPr>
          <w:rFonts w:ascii="宋体" w:hAnsi="宋体"/>
          <w:szCs w:val="21"/>
        </w:rPr>
      </w:pPr>
      <w:r>
        <w:rPr>
          <w:rFonts w:hint="eastAsia" w:ascii="宋体" w:hAnsi="宋体"/>
          <w:szCs w:val="21"/>
        </w:rPr>
        <w:t>3.4.3建设单位（项目需求单位）应在发出评审结束后7日内向未中选的竞投单位退还竞投保证金。建设单位（项目需求单位）与中选人签订合同后，中选人竞投保证金自动转账为履约保证金。</w:t>
      </w:r>
    </w:p>
    <w:p>
      <w:pPr>
        <w:spacing w:line="460" w:lineRule="atLeast"/>
        <w:ind w:firstLine="420" w:firstLineChars="200"/>
        <w:rPr>
          <w:rFonts w:ascii="宋体" w:hAnsi="宋体"/>
          <w:szCs w:val="21"/>
        </w:rPr>
      </w:pPr>
      <w:r>
        <w:rPr>
          <w:rFonts w:hint="eastAsia" w:ascii="宋体" w:hAnsi="宋体"/>
          <w:szCs w:val="21"/>
        </w:rPr>
        <w:t>3.4.4 有下列情形之一的，竞投保证金将不予退还：</w:t>
      </w:r>
    </w:p>
    <w:p>
      <w:pPr>
        <w:spacing w:line="460" w:lineRule="atLeast"/>
        <w:ind w:firstLine="420" w:firstLineChars="200"/>
        <w:rPr>
          <w:rFonts w:ascii="宋体" w:hAnsi="宋体"/>
          <w:szCs w:val="21"/>
        </w:rPr>
      </w:pPr>
      <w:r>
        <w:rPr>
          <w:rFonts w:hint="eastAsia" w:ascii="宋体" w:hAnsi="宋体"/>
          <w:szCs w:val="21"/>
        </w:rPr>
        <w:t>(1）竞投单位在规定的竞投有效期内撤销或修改其竞投文件；</w:t>
      </w:r>
    </w:p>
    <w:p>
      <w:pPr>
        <w:spacing w:line="360" w:lineRule="auto"/>
        <w:ind w:firstLine="420" w:firstLineChars="200"/>
        <w:rPr>
          <w:rFonts w:ascii="宋体" w:hAnsi="宋体"/>
          <w:szCs w:val="21"/>
        </w:rPr>
      </w:pPr>
      <w:r>
        <w:rPr>
          <w:rFonts w:hint="eastAsia" w:ascii="宋体" w:hAnsi="宋体"/>
          <w:szCs w:val="21"/>
        </w:rPr>
        <w:t>(2）中选人在收到竞争选取确定书后，无正当理由拒签合同协议书或未按项目需求书规定提交履约担保。</w:t>
      </w:r>
    </w:p>
    <w:p>
      <w:pPr>
        <w:pStyle w:val="5"/>
      </w:pPr>
      <w:r>
        <w:rPr>
          <w:rFonts w:hint="eastAsia"/>
        </w:rPr>
        <w:t>3.5 资格审查资料</w:t>
      </w:r>
    </w:p>
    <w:p>
      <w:pPr>
        <w:spacing w:line="360" w:lineRule="auto"/>
        <w:ind w:firstLine="420" w:firstLineChars="200"/>
        <w:rPr>
          <w:rFonts w:ascii="宋体" w:hAnsi="宋体"/>
          <w:szCs w:val="21"/>
        </w:rPr>
      </w:pPr>
      <w:r>
        <w:rPr>
          <w:rFonts w:hint="eastAsia" w:ascii="宋体" w:hAnsi="宋体"/>
          <w:szCs w:val="21"/>
        </w:rPr>
        <w:t>3.5.1 “竞投单位基本情况表”应附竞投单位有效的营业执照、资质证书和安全生产许可证等材料的复印件并加盖单位公章。</w:t>
      </w:r>
    </w:p>
    <w:p>
      <w:pPr>
        <w:spacing w:line="360" w:lineRule="auto"/>
        <w:ind w:firstLine="420" w:firstLineChars="200"/>
        <w:rPr>
          <w:rFonts w:ascii="宋体" w:hAnsi="宋体"/>
          <w:szCs w:val="21"/>
        </w:rPr>
      </w:pPr>
      <w:r>
        <w:rPr>
          <w:rFonts w:hint="eastAsia" w:ascii="宋体" w:hAnsi="宋体"/>
          <w:szCs w:val="21"/>
        </w:rPr>
        <w:t>3.5.2其他要求按前附表须知执行。</w:t>
      </w:r>
    </w:p>
    <w:p>
      <w:pPr>
        <w:pStyle w:val="5"/>
      </w:pPr>
      <w:r>
        <w:rPr>
          <w:rFonts w:hint="eastAsia"/>
        </w:rPr>
        <w:t>3.6 备选竞投方案</w:t>
      </w:r>
    </w:p>
    <w:p>
      <w:pPr>
        <w:spacing w:line="360" w:lineRule="auto"/>
        <w:ind w:firstLine="420" w:firstLineChars="200"/>
        <w:rPr>
          <w:rFonts w:ascii="宋体" w:hAnsi="宋体"/>
          <w:szCs w:val="21"/>
        </w:rPr>
      </w:pPr>
      <w:r>
        <w:rPr>
          <w:rFonts w:hint="eastAsia" w:ascii="宋体" w:hAnsi="宋体"/>
          <w:szCs w:val="21"/>
        </w:rPr>
        <w:t>本项目不接受该备选竞投方案。</w:t>
      </w:r>
    </w:p>
    <w:p>
      <w:pPr>
        <w:pStyle w:val="5"/>
      </w:pPr>
      <w:r>
        <w:rPr>
          <w:rFonts w:hint="eastAsia"/>
        </w:rPr>
        <w:t>3.7 竞投文件的编制</w:t>
      </w:r>
    </w:p>
    <w:p>
      <w:pPr>
        <w:spacing w:line="360" w:lineRule="auto"/>
        <w:ind w:firstLine="420" w:firstLineChars="200"/>
        <w:rPr>
          <w:rFonts w:ascii="宋体" w:hAnsi="宋体"/>
          <w:szCs w:val="21"/>
        </w:rPr>
      </w:pPr>
      <w:r>
        <w:rPr>
          <w:rFonts w:hint="eastAsia" w:ascii="宋体" w:hAnsi="宋体"/>
          <w:szCs w:val="21"/>
        </w:rPr>
        <w:t>3.7.1 竞投文件应按第八章“竞投文件格式”进行编写，如有必要，可以增加附页，作为竞投文件的组成部分。其中，承诺书在满足项目需求书实质性要求的基础上，可以提出比项目需求书要求更有利于建设单位（项目需求单位）的承诺。</w:t>
      </w:r>
    </w:p>
    <w:p>
      <w:pPr>
        <w:spacing w:line="360" w:lineRule="auto"/>
        <w:ind w:firstLine="420" w:firstLineChars="200"/>
        <w:rPr>
          <w:rFonts w:ascii="宋体" w:hAnsi="宋体"/>
          <w:szCs w:val="21"/>
        </w:rPr>
      </w:pPr>
      <w:r>
        <w:rPr>
          <w:rFonts w:hint="eastAsia" w:ascii="宋体" w:hAnsi="宋体"/>
          <w:szCs w:val="21"/>
        </w:rPr>
        <w:t>3.7.2 竞投文件应当对项目需求书有关人员、工期、竞投有效期、质量要求、技术标准和要求、竞投范围等实质性内容作出响应。</w:t>
      </w:r>
    </w:p>
    <w:p>
      <w:pPr>
        <w:spacing w:line="360" w:lineRule="auto"/>
        <w:ind w:firstLine="420" w:firstLineChars="200"/>
        <w:rPr>
          <w:rFonts w:ascii="宋体" w:hAnsi="宋体"/>
          <w:szCs w:val="21"/>
        </w:rPr>
      </w:pPr>
      <w:r>
        <w:rPr>
          <w:rFonts w:hint="eastAsia" w:ascii="宋体" w:hAnsi="宋体"/>
          <w:szCs w:val="21"/>
        </w:rPr>
        <w:t>3.7.3 竞投文件应用不褪色的材料书写或打印，并由竞投单位的法定代表人或法定授权代理人签字并盖单位公章。法定授权代理人签字的，竞投文件应附法定代表人签署的授权委托书。竞投文件应尽量避免涂改、行间插字或删除。如果出现上述情况，改动之处应加盖单位章或由竞投单位的法定代表人或其授权的代理人签字确认。签字或盖章的具体要求见竞投单位须知前附表。</w:t>
      </w:r>
    </w:p>
    <w:p>
      <w:pPr>
        <w:spacing w:line="360" w:lineRule="auto"/>
        <w:ind w:firstLine="420" w:firstLineChars="200"/>
        <w:rPr>
          <w:rFonts w:ascii="宋体" w:hAnsi="宋体"/>
          <w:szCs w:val="21"/>
        </w:rPr>
      </w:pPr>
      <w:r>
        <w:rPr>
          <w:rFonts w:hint="eastAsia" w:ascii="宋体" w:hAnsi="宋体"/>
          <w:szCs w:val="21"/>
        </w:rPr>
        <w:t>3.7.4 竞投文件一式五份，资格竞投文件封面上应标记工程名称、“资格竞投文件”字样，由法定代表人或法定授权代理人签字并加盖单位公章；经济竞投文件封面上应标记工程名称、“经济竞投文件”字样，由法定代表人或法定授权代理人签字并加盖单位公章，由竞投单位负责编制经济竞投文件的注册造价师（造价员）签字，或委托具有相应资质的工程造价咨询公司的注册造价师（造价员）签字。基本资料竞投文件封面上应标记工程名称、“基本资料竞投文件”字样，由法定代表人或法定授权代理人签字并加盖单位公章。</w:t>
      </w:r>
    </w:p>
    <w:p>
      <w:pPr>
        <w:spacing w:line="360" w:lineRule="auto"/>
        <w:ind w:firstLine="420" w:firstLineChars="200"/>
        <w:rPr>
          <w:rFonts w:ascii="宋体" w:hAnsi="宋体"/>
          <w:szCs w:val="21"/>
        </w:rPr>
      </w:pPr>
      <w:r>
        <w:rPr>
          <w:rFonts w:hint="eastAsia" w:ascii="宋体" w:hAnsi="宋体"/>
          <w:szCs w:val="21"/>
        </w:rPr>
        <w:t>3.7.5 竞投文件的资格竞投文件、基本资料竞投文件或经济竞投文件应分别单独编制，并各自编制目录，具体编制要求见竞投单位须知前附表规定。</w:t>
      </w:r>
    </w:p>
    <w:p>
      <w:pPr>
        <w:pStyle w:val="4"/>
      </w:pPr>
      <w:bookmarkStart w:id="26" w:name="_Toc477771266"/>
      <w:bookmarkStart w:id="27" w:name="_Toc184635074"/>
      <w:bookmarkStart w:id="28" w:name="_Toc398537313"/>
      <w:bookmarkStart w:id="29" w:name="_Toc427572488"/>
      <w:bookmarkStart w:id="30" w:name="_Toc381691734"/>
      <w:r>
        <w:rPr>
          <w:rFonts w:hint="eastAsia"/>
        </w:rPr>
        <w:t>4．</w:t>
      </w:r>
      <w:bookmarkEnd w:id="26"/>
      <w:bookmarkEnd w:id="27"/>
      <w:bookmarkEnd w:id="28"/>
      <w:bookmarkEnd w:id="29"/>
      <w:bookmarkEnd w:id="30"/>
      <w:r>
        <w:rPr>
          <w:rFonts w:hint="eastAsia"/>
        </w:rPr>
        <w:t>竞投</w:t>
      </w:r>
    </w:p>
    <w:p>
      <w:pPr>
        <w:pStyle w:val="5"/>
      </w:pPr>
      <w:r>
        <w:rPr>
          <w:rFonts w:hint="eastAsia"/>
        </w:rPr>
        <w:t>4.1 竞投文件的密封和标记</w:t>
      </w:r>
    </w:p>
    <w:p>
      <w:pPr>
        <w:spacing w:line="360" w:lineRule="auto"/>
        <w:ind w:firstLine="420" w:firstLineChars="200"/>
        <w:rPr>
          <w:rFonts w:ascii="宋体" w:hAnsi="宋体"/>
          <w:szCs w:val="21"/>
        </w:rPr>
      </w:pPr>
      <w:r>
        <w:rPr>
          <w:rFonts w:hint="eastAsia" w:ascii="宋体" w:hAnsi="宋体"/>
          <w:szCs w:val="21"/>
        </w:rPr>
        <w:t>4.1.1竞投文件分别按资格竞投文件、基本资料竞投文件和经济竞投文件须分开各自装订和密封。资格竞投文件、基本资料竞投文件或经济竞投文件的正本与副本须包装在同一密封袋内，并在封套上加盖竞投单位单位章。封袋上应写明的其他内容见竞投单位须知前附表4.1.2。</w:t>
      </w:r>
    </w:p>
    <w:p>
      <w:pPr>
        <w:spacing w:line="360" w:lineRule="auto"/>
        <w:ind w:firstLine="420" w:firstLineChars="200"/>
        <w:rPr>
          <w:rFonts w:ascii="宋体" w:hAnsi="宋体"/>
          <w:szCs w:val="21"/>
        </w:rPr>
      </w:pPr>
      <w:r>
        <w:rPr>
          <w:rFonts w:hint="eastAsia" w:ascii="宋体" w:hAnsi="宋体"/>
          <w:szCs w:val="21"/>
        </w:rPr>
        <w:t>4.1.2竞投文件的封套上应清楚地标记工程名称、“资格竞投文件”、“基本资料竞投文件”或“经济竞投文件”字样、竞投单位名称，封套上应写明的其他内容见竞投单位须知前附表。</w:t>
      </w:r>
    </w:p>
    <w:p>
      <w:pPr>
        <w:spacing w:line="360" w:lineRule="auto"/>
        <w:ind w:firstLine="420" w:firstLineChars="200"/>
        <w:rPr>
          <w:rFonts w:ascii="宋体" w:hAnsi="宋体"/>
          <w:szCs w:val="21"/>
        </w:rPr>
      </w:pPr>
      <w:r>
        <w:rPr>
          <w:rFonts w:hint="eastAsia" w:ascii="宋体" w:hAnsi="宋体"/>
          <w:szCs w:val="21"/>
        </w:rPr>
        <w:t>4.1.3未按本章第4.1.1 项和4.1.2项要求密封和加写标记的竞投文件，建设单位（项目需求单位）不予受理。</w:t>
      </w:r>
    </w:p>
    <w:p>
      <w:pPr>
        <w:pStyle w:val="5"/>
      </w:pPr>
      <w:r>
        <w:rPr>
          <w:rFonts w:hint="eastAsia"/>
        </w:rPr>
        <w:t>4.2 竞投文件的递交</w:t>
      </w:r>
    </w:p>
    <w:p>
      <w:pPr>
        <w:snapToGrid w:val="0"/>
        <w:spacing w:line="360" w:lineRule="auto"/>
        <w:ind w:firstLine="420" w:firstLineChars="200"/>
        <w:rPr>
          <w:rFonts w:ascii="宋体" w:hAnsi="宋体"/>
          <w:szCs w:val="21"/>
        </w:rPr>
      </w:pPr>
      <w:r>
        <w:rPr>
          <w:rFonts w:hint="eastAsia" w:ascii="宋体" w:hAnsi="宋体"/>
          <w:szCs w:val="21"/>
        </w:rPr>
        <w:t>4.2.1竞投单位应在本章第2.2.3 项规定竞投会（竞投文件递交截止时间）前现场递交。</w:t>
      </w:r>
    </w:p>
    <w:p>
      <w:pPr>
        <w:spacing w:line="360" w:lineRule="auto"/>
        <w:ind w:firstLine="420" w:firstLineChars="200"/>
        <w:rPr>
          <w:rFonts w:ascii="宋体" w:hAnsi="宋体"/>
          <w:szCs w:val="21"/>
        </w:rPr>
      </w:pPr>
      <w:r>
        <w:rPr>
          <w:rFonts w:hint="eastAsia" w:ascii="宋体" w:hAnsi="宋体"/>
          <w:szCs w:val="21"/>
        </w:rPr>
        <w:t>4.2.2 竞投单位递交竞投文件的地点：见竞投单位须知前附表。</w:t>
      </w:r>
    </w:p>
    <w:p>
      <w:pPr>
        <w:spacing w:line="360" w:lineRule="auto"/>
        <w:ind w:firstLine="420" w:firstLineChars="200"/>
        <w:rPr>
          <w:rFonts w:ascii="宋体" w:hAnsi="宋体"/>
          <w:szCs w:val="21"/>
        </w:rPr>
      </w:pPr>
      <w:r>
        <w:rPr>
          <w:rFonts w:hint="eastAsia" w:ascii="宋体" w:hAnsi="宋体"/>
          <w:szCs w:val="21"/>
        </w:rPr>
        <w:t>4.2.3 除竞投单位须知前附表另有规定外，竞投单位所递交的竞投文件不予退还。</w:t>
      </w:r>
    </w:p>
    <w:p>
      <w:pPr>
        <w:spacing w:line="360" w:lineRule="auto"/>
        <w:ind w:firstLine="420" w:firstLineChars="200"/>
        <w:rPr>
          <w:rFonts w:ascii="宋体" w:hAnsi="宋体"/>
          <w:szCs w:val="21"/>
        </w:rPr>
      </w:pPr>
      <w:r>
        <w:rPr>
          <w:rFonts w:hint="eastAsia" w:ascii="宋体" w:hAnsi="宋体"/>
          <w:szCs w:val="21"/>
        </w:rPr>
        <w:t>4.2.4 逾期送达的或者未送达指定地点的竞投文件，建设单位（项目需求单位）不予受理。</w:t>
      </w:r>
    </w:p>
    <w:p>
      <w:pPr>
        <w:spacing w:line="360" w:lineRule="auto"/>
        <w:ind w:firstLine="420" w:firstLineChars="200"/>
        <w:rPr>
          <w:rFonts w:ascii="宋体" w:hAnsi="宋体"/>
          <w:szCs w:val="21"/>
        </w:rPr>
      </w:pPr>
      <w:r>
        <w:rPr>
          <w:rFonts w:hint="eastAsia" w:ascii="宋体" w:hAnsi="宋体"/>
          <w:szCs w:val="21"/>
        </w:rPr>
        <w:t>4.3 竞投文件的修改与撤回</w:t>
      </w:r>
    </w:p>
    <w:p>
      <w:pPr>
        <w:spacing w:line="360" w:lineRule="auto"/>
        <w:ind w:firstLine="420" w:firstLineChars="200"/>
        <w:rPr>
          <w:rFonts w:ascii="宋体" w:hAnsi="宋体"/>
          <w:szCs w:val="21"/>
        </w:rPr>
      </w:pPr>
      <w:r>
        <w:rPr>
          <w:rFonts w:hint="eastAsia" w:ascii="宋体" w:hAnsi="宋体"/>
          <w:szCs w:val="21"/>
        </w:rPr>
        <w:t>4.3.1 在本章第2.2.3 项规定的竞投截止时间前，竞投单位可以修改或撤回已递交的竞投文件。如需撤回竞投文件的，应在竞投截止提交时间前以书面形式通知建设单位（项目需求单位）。</w:t>
      </w:r>
    </w:p>
    <w:p>
      <w:pPr>
        <w:spacing w:line="360" w:lineRule="auto"/>
        <w:ind w:firstLine="420" w:firstLineChars="200"/>
        <w:rPr>
          <w:rFonts w:ascii="宋体" w:hAnsi="宋体"/>
          <w:szCs w:val="21"/>
        </w:rPr>
      </w:pPr>
      <w:r>
        <w:rPr>
          <w:rFonts w:hint="eastAsia" w:ascii="宋体" w:hAnsi="宋体"/>
          <w:szCs w:val="21"/>
        </w:rPr>
        <w:t>4.3.2 竞投单位修改或撤回已递交竞投文件的书面通知应按照本章第3.7.3 项的要求签字或盖章。建设单位（项目需求单位）收到书面通知后，向竞投单位出具签收凭证。</w:t>
      </w:r>
    </w:p>
    <w:p>
      <w:pPr>
        <w:spacing w:line="360" w:lineRule="auto"/>
        <w:ind w:firstLine="420" w:firstLineChars="200"/>
        <w:rPr>
          <w:rFonts w:ascii="宋体" w:hAnsi="宋体"/>
          <w:szCs w:val="21"/>
        </w:rPr>
      </w:pPr>
      <w:r>
        <w:rPr>
          <w:rFonts w:hint="eastAsia" w:ascii="宋体" w:hAnsi="宋体"/>
          <w:szCs w:val="21"/>
        </w:rPr>
        <w:t>4.3.3 修改的内容为竞投文件的组成部分。修改的竞投文件应按照本章第3 条、第4 条规定进行编制、密封、标记和递交，并标明“修改”字样。</w:t>
      </w:r>
    </w:p>
    <w:p>
      <w:pPr>
        <w:pStyle w:val="4"/>
      </w:pPr>
      <w:bookmarkStart w:id="31" w:name="_Toc477771267"/>
      <w:bookmarkStart w:id="32" w:name="_Toc381691735"/>
      <w:bookmarkStart w:id="33" w:name="_Toc427572489"/>
      <w:bookmarkStart w:id="34" w:name="_Toc398537314"/>
      <w:bookmarkStart w:id="35" w:name="_Toc184635075"/>
      <w:r>
        <w:rPr>
          <w:rFonts w:hint="eastAsia"/>
        </w:rPr>
        <w:t>5．</w:t>
      </w:r>
      <w:bookmarkEnd w:id="31"/>
      <w:bookmarkEnd w:id="32"/>
      <w:bookmarkEnd w:id="33"/>
      <w:bookmarkEnd w:id="34"/>
      <w:bookmarkEnd w:id="35"/>
      <w:r>
        <w:rPr>
          <w:rFonts w:hint="eastAsia"/>
        </w:rPr>
        <w:t>竞投会</w:t>
      </w:r>
    </w:p>
    <w:p>
      <w:pPr>
        <w:pStyle w:val="5"/>
      </w:pPr>
      <w:r>
        <w:rPr>
          <w:rFonts w:hint="eastAsia"/>
        </w:rPr>
        <w:t>5.1 竞投会时间和地点</w:t>
      </w:r>
    </w:p>
    <w:p>
      <w:pPr>
        <w:spacing w:line="360" w:lineRule="auto"/>
        <w:ind w:firstLine="420" w:firstLineChars="200"/>
        <w:rPr>
          <w:rFonts w:ascii="宋体" w:hAnsi="宋体"/>
          <w:szCs w:val="21"/>
        </w:rPr>
      </w:pPr>
      <w:r>
        <w:rPr>
          <w:rFonts w:hint="eastAsia" w:ascii="宋体" w:hAnsi="宋体"/>
          <w:szCs w:val="21"/>
        </w:rPr>
        <w:t>建设单位（项目需求单位）在本章第2.2.3 项规定的竞投会时间和竞投单位须知前附表规定的地点组织公开竞投会，并邀请所有竞投单位的法定代表人或其委托的代理人准时参加。</w:t>
      </w:r>
    </w:p>
    <w:p>
      <w:pPr>
        <w:pStyle w:val="5"/>
      </w:pPr>
      <w:r>
        <w:rPr>
          <w:rFonts w:hint="eastAsia"/>
        </w:rPr>
        <w:t>5.2 竞投会程序</w:t>
      </w:r>
    </w:p>
    <w:p>
      <w:pPr>
        <w:spacing w:line="360" w:lineRule="auto"/>
        <w:ind w:firstLine="420" w:firstLineChars="200"/>
        <w:rPr>
          <w:rFonts w:ascii="宋体" w:hAnsi="宋体"/>
          <w:szCs w:val="21"/>
        </w:rPr>
      </w:pPr>
      <w:bookmarkStart w:id="36" w:name="_Toc184635076"/>
      <w:r>
        <w:rPr>
          <w:rFonts w:hint="eastAsia" w:ascii="宋体" w:hAnsi="宋体"/>
          <w:szCs w:val="21"/>
        </w:rPr>
        <w:t>主持人按下列程序进行竞投会：</w:t>
      </w:r>
    </w:p>
    <w:p>
      <w:pPr>
        <w:spacing w:line="360" w:lineRule="auto"/>
        <w:ind w:firstLine="420" w:firstLineChars="200"/>
        <w:rPr>
          <w:rFonts w:ascii="宋体" w:hAnsi="宋体"/>
          <w:szCs w:val="21"/>
        </w:rPr>
      </w:pPr>
      <w:r>
        <w:rPr>
          <w:rFonts w:hint="eastAsia" w:ascii="宋体" w:hAnsi="宋体"/>
          <w:szCs w:val="21"/>
        </w:rPr>
        <w:t xml:space="preserve"> (l）接收竞投文件，并纸质签到；</w:t>
      </w:r>
    </w:p>
    <w:p>
      <w:pPr>
        <w:spacing w:line="360" w:lineRule="auto"/>
        <w:ind w:firstLine="420" w:firstLineChars="200"/>
        <w:rPr>
          <w:rFonts w:ascii="宋体" w:hAnsi="宋体"/>
          <w:szCs w:val="21"/>
        </w:rPr>
      </w:pPr>
      <w:r>
        <w:rPr>
          <w:rFonts w:hint="eastAsia" w:ascii="宋体" w:hAnsi="宋体" w:cs="宋体"/>
          <w:kern w:val="0"/>
          <w:szCs w:val="21"/>
        </w:rPr>
        <w:t>（2）宣布竞投文件递交截止时间到，迟于此时间递交的竞投文件不予接受；</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（3）宣布竞投会纪律、竞投会主持人、唱标人、记录人、监标人等有关情况； </w:t>
      </w:r>
    </w:p>
    <w:p>
      <w:pPr>
        <w:spacing w:line="360" w:lineRule="auto"/>
        <w:ind w:firstLine="420" w:firstLineChars="200"/>
        <w:rPr>
          <w:rFonts w:ascii="宋体" w:hAnsi="宋体"/>
          <w:szCs w:val="21"/>
        </w:rPr>
      </w:pPr>
      <w:r>
        <w:rPr>
          <w:rFonts w:hint="eastAsia" w:ascii="宋体" w:hAnsi="宋体"/>
          <w:szCs w:val="21"/>
        </w:rPr>
        <w:t>（4）检查现场递交竞投文件的情况。即检查资格竞投文件、经济竞投文件和基本资料竞投文件外包装的密封、签字、盖章是否符合项目需求书要求。不符合要求的，应当否决；</w:t>
      </w:r>
    </w:p>
    <w:p>
      <w:pPr>
        <w:spacing w:line="360" w:lineRule="auto"/>
        <w:ind w:firstLine="420" w:firstLineChars="200"/>
        <w:rPr>
          <w:rFonts w:ascii="宋体" w:hAnsi="宋体"/>
          <w:szCs w:val="21"/>
        </w:rPr>
      </w:pPr>
      <w:r>
        <w:rPr>
          <w:rFonts w:hint="eastAsia" w:ascii="宋体" w:hAnsi="宋体"/>
          <w:szCs w:val="21"/>
        </w:rPr>
        <w:t>（5）检查备查资料原件递交情况；</w:t>
      </w:r>
    </w:p>
    <w:p>
      <w:pPr>
        <w:spacing w:line="360" w:lineRule="auto"/>
        <w:ind w:firstLine="420" w:firstLineChars="200"/>
        <w:rPr>
          <w:rFonts w:ascii="宋体" w:hAnsi="宋体"/>
          <w:szCs w:val="21"/>
        </w:rPr>
      </w:pPr>
      <w:r>
        <w:rPr>
          <w:rFonts w:hint="eastAsia" w:ascii="宋体" w:hAnsi="宋体"/>
          <w:szCs w:val="21"/>
        </w:rPr>
        <w:t>（6）检查竞投单位的竞投保证金的递交情况；</w:t>
      </w:r>
    </w:p>
    <w:p>
      <w:pPr>
        <w:spacing w:line="360" w:lineRule="auto"/>
        <w:ind w:firstLine="420" w:firstLineChars="200"/>
        <w:rPr>
          <w:rFonts w:ascii="宋体" w:hAnsi="宋体"/>
          <w:szCs w:val="21"/>
        </w:rPr>
      </w:pPr>
      <w:r>
        <w:rPr>
          <w:rFonts w:hint="eastAsia" w:ascii="宋体" w:hAnsi="宋体"/>
          <w:szCs w:val="21"/>
        </w:rPr>
        <w:t>（7）开启</w:t>
      </w:r>
      <w:r>
        <w:rPr>
          <w:rFonts w:hint="eastAsia"/>
        </w:rPr>
        <w:t>资格竞投文件、</w:t>
      </w:r>
      <w:r>
        <w:rPr>
          <w:rFonts w:hint="eastAsia" w:ascii="宋体" w:hAnsi="宋体"/>
          <w:szCs w:val="21"/>
        </w:rPr>
        <w:t>经济竞投文件和基本资料竞投文件，检查</w:t>
      </w:r>
      <w:r>
        <w:rPr>
          <w:rFonts w:hint="eastAsia"/>
        </w:rPr>
        <w:t>资格竞投文件、</w:t>
      </w:r>
      <w:r>
        <w:rPr>
          <w:rFonts w:hint="eastAsia" w:ascii="宋体" w:hAnsi="宋体"/>
          <w:szCs w:val="21"/>
        </w:rPr>
        <w:t>经济竞投文件和基本资料竞投文件的文件份数、封面的工程名称、签字和盖章是否符合项目需求书要求。不符合要求的，应当否决。</w:t>
      </w:r>
    </w:p>
    <w:p>
      <w:pPr>
        <w:spacing w:line="360" w:lineRule="auto"/>
        <w:ind w:firstLine="420" w:firstLineChars="200"/>
        <w:rPr>
          <w:rFonts w:ascii="宋体" w:hAnsi="宋体"/>
          <w:szCs w:val="21"/>
        </w:rPr>
      </w:pPr>
      <w:r>
        <w:rPr>
          <w:rFonts w:hint="eastAsia" w:ascii="宋体" w:hAnsi="宋体"/>
          <w:szCs w:val="21"/>
        </w:rPr>
        <w:t>（8）竞投单位代表、建设单位（项目需求单位）代表、记录人等有关人员在竞投会相关表格记录上签字确认；</w:t>
      </w:r>
    </w:p>
    <w:p>
      <w:pPr>
        <w:spacing w:line="360" w:lineRule="auto"/>
        <w:ind w:firstLine="525" w:firstLineChars="250"/>
        <w:rPr>
          <w:rFonts w:ascii="宋体" w:hAnsi="宋体"/>
          <w:szCs w:val="21"/>
        </w:rPr>
      </w:pPr>
      <w:r>
        <w:rPr>
          <w:rFonts w:hint="eastAsia" w:ascii="宋体" w:hAnsi="宋体"/>
          <w:szCs w:val="21"/>
        </w:rPr>
        <w:t>(9）竞投会结束。</w:t>
      </w:r>
    </w:p>
    <w:p>
      <w:pPr>
        <w:pStyle w:val="4"/>
      </w:pPr>
      <w:bookmarkStart w:id="37" w:name="_Toc381691736"/>
      <w:bookmarkStart w:id="38" w:name="_Toc477771268"/>
      <w:bookmarkStart w:id="39" w:name="_Toc398537315"/>
      <w:bookmarkStart w:id="40" w:name="_Toc427572490"/>
      <w:r>
        <w:rPr>
          <w:rFonts w:hint="eastAsia"/>
        </w:rPr>
        <w:t>6．</w:t>
      </w:r>
      <w:bookmarkEnd w:id="36"/>
      <w:bookmarkEnd w:id="37"/>
      <w:bookmarkEnd w:id="38"/>
      <w:bookmarkEnd w:id="39"/>
      <w:bookmarkEnd w:id="40"/>
      <w:r>
        <w:rPr>
          <w:rFonts w:hint="eastAsia"/>
        </w:rPr>
        <w:t>评审</w:t>
      </w:r>
    </w:p>
    <w:p>
      <w:pPr>
        <w:pStyle w:val="5"/>
      </w:pPr>
      <w:r>
        <w:rPr>
          <w:rFonts w:hint="eastAsia"/>
        </w:rPr>
        <w:t>6.1 评审委员会</w:t>
      </w:r>
    </w:p>
    <w:p>
      <w:pPr>
        <w:spacing w:line="360" w:lineRule="auto"/>
        <w:ind w:firstLine="420" w:firstLineChars="200"/>
        <w:rPr>
          <w:rFonts w:ascii="宋体" w:hAnsi="宋体"/>
          <w:szCs w:val="21"/>
        </w:rPr>
      </w:pPr>
      <w:r>
        <w:rPr>
          <w:rFonts w:hint="eastAsia" w:ascii="宋体" w:hAnsi="宋体"/>
          <w:szCs w:val="21"/>
        </w:rPr>
        <w:t xml:space="preserve">6.1.1 </w:t>
      </w:r>
      <w:r>
        <w:rPr>
          <w:rFonts w:hint="eastAsia" w:ascii="宋体" w:hAnsi="宋体"/>
          <w:color w:val="FF0000"/>
          <w:szCs w:val="21"/>
        </w:rPr>
        <w:t>评审工作由</w:t>
      </w:r>
      <w:r>
        <w:rPr>
          <w:rFonts w:hint="eastAsia" w:ascii="宋体" w:hAnsi="宋体" w:cs="宋体"/>
          <w:color w:val="FF0000"/>
          <w:szCs w:val="21"/>
        </w:rPr>
        <w:t>中山市小榄镇评审人员库中随机抽取的人员</w:t>
      </w:r>
      <w:r>
        <w:rPr>
          <w:rFonts w:hint="eastAsia" w:ascii="宋体" w:hAnsi="宋体"/>
          <w:color w:val="FF0000"/>
          <w:szCs w:val="21"/>
        </w:rPr>
        <w:t>负责</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6.1.2 评审委员会成员有下列情形之一的，应当回避：</w:t>
      </w:r>
    </w:p>
    <w:p>
      <w:pPr>
        <w:spacing w:line="360" w:lineRule="auto"/>
        <w:ind w:firstLine="420" w:firstLineChars="200"/>
        <w:rPr>
          <w:rFonts w:ascii="宋体" w:hAnsi="宋体"/>
          <w:szCs w:val="21"/>
        </w:rPr>
      </w:pPr>
      <w:r>
        <w:rPr>
          <w:rFonts w:hint="eastAsia" w:ascii="宋体" w:hAnsi="宋体"/>
          <w:szCs w:val="21"/>
        </w:rPr>
        <w:t>(1）竞投单位或竞投单位的主要负责人的近亲属；</w:t>
      </w:r>
    </w:p>
    <w:p>
      <w:pPr>
        <w:spacing w:line="360" w:lineRule="auto"/>
        <w:ind w:firstLine="420" w:firstLineChars="200"/>
        <w:rPr>
          <w:rFonts w:ascii="宋体" w:hAnsi="宋体"/>
          <w:szCs w:val="21"/>
        </w:rPr>
      </w:pPr>
      <w:r>
        <w:rPr>
          <w:rFonts w:hint="eastAsia" w:ascii="宋体" w:hAnsi="宋体"/>
          <w:szCs w:val="21"/>
        </w:rPr>
        <w:t>(2）项目主管部门或者行政监督部门的人员：</w:t>
      </w:r>
    </w:p>
    <w:p>
      <w:pPr>
        <w:spacing w:line="360" w:lineRule="auto"/>
        <w:ind w:firstLine="420" w:firstLineChars="200"/>
        <w:rPr>
          <w:rFonts w:ascii="宋体" w:hAnsi="宋体"/>
          <w:szCs w:val="21"/>
        </w:rPr>
      </w:pPr>
      <w:r>
        <w:rPr>
          <w:rFonts w:hint="eastAsia" w:ascii="宋体" w:hAnsi="宋体"/>
          <w:szCs w:val="21"/>
        </w:rPr>
        <w:t>(3）与竞投单位有商务利益关系，可能影响对竞投公正评审的；</w:t>
      </w:r>
    </w:p>
    <w:p>
      <w:pPr>
        <w:spacing w:line="360" w:lineRule="auto"/>
        <w:ind w:firstLine="420" w:firstLineChars="200"/>
        <w:rPr>
          <w:rFonts w:ascii="宋体" w:hAnsi="宋体"/>
          <w:szCs w:val="21"/>
        </w:rPr>
      </w:pPr>
      <w:r>
        <w:rPr>
          <w:rFonts w:hint="eastAsia" w:ascii="宋体" w:hAnsi="宋体"/>
          <w:szCs w:val="21"/>
        </w:rPr>
        <w:t>(4）曾因在竞投、评审以及其他与竞投竞投有关活动中从事违法行为而受过行政处罚或刑事处罚的。</w:t>
      </w:r>
    </w:p>
    <w:p>
      <w:pPr>
        <w:pStyle w:val="5"/>
      </w:pPr>
      <w:r>
        <w:rPr>
          <w:rFonts w:hint="eastAsia"/>
        </w:rPr>
        <w:t>6.2 评审原则</w:t>
      </w:r>
    </w:p>
    <w:p>
      <w:pPr>
        <w:spacing w:line="360" w:lineRule="auto"/>
        <w:ind w:firstLine="420" w:firstLineChars="200"/>
        <w:rPr>
          <w:rFonts w:ascii="宋体" w:hAnsi="宋体"/>
          <w:szCs w:val="21"/>
        </w:rPr>
      </w:pPr>
      <w:r>
        <w:rPr>
          <w:rFonts w:hint="eastAsia" w:ascii="宋体" w:hAnsi="宋体"/>
          <w:szCs w:val="21"/>
        </w:rPr>
        <w:t>评审活动遵循公平、公正、科学和择优的原则。</w:t>
      </w:r>
    </w:p>
    <w:p>
      <w:pPr>
        <w:pStyle w:val="5"/>
      </w:pPr>
      <w:r>
        <w:rPr>
          <w:rFonts w:hint="eastAsia"/>
        </w:rPr>
        <w:t>6.3 评审</w:t>
      </w:r>
    </w:p>
    <w:p>
      <w:pPr>
        <w:spacing w:line="360" w:lineRule="auto"/>
        <w:ind w:firstLine="420" w:firstLineChars="200"/>
        <w:rPr>
          <w:rFonts w:ascii="Arial" w:hAnsi="Arial"/>
          <w:b/>
          <w:bCs/>
          <w:szCs w:val="28"/>
        </w:rPr>
      </w:pPr>
      <w:r>
        <w:rPr>
          <w:rFonts w:hint="eastAsia" w:ascii="宋体" w:hAnsi="宋体"/>
          <w:szCs w:val="21"/>
        </w:rPr>
        <w:t>评审委员会按照第三章“评审办法”规定的方法、评审因素、标准和程序对竞投文件进行评审。第三章“评审办法”没有规定的方法、评审因素和标准，不作为评审依据。</w:t>
      </w:r>
    </w:p>
    <w:p>
      <w:pPr>
        <w:spacing w:line="360" w:lineRule="auto"/>
        <w:rPr>
          <w:rFonts w:ascii="Arial" w:hAnsi="Arial"/>
          <w:b/>
          <w:bCs/>
          <w:szCs w:val="28"/>
        </w:rPr>
      </w:pPr>
      <w:r>
        <w:rPr>
          <w:rFonts w:hint="eastAsia" w:ascii="Arial" w:hAnsi="Arial"/>
          <w:b/>
          <w:bCs/>
          <w:szCs w:val="28"/>
        </w:rPr>
        <w:t>6.4程序表</w:t>
      </w:r>
    </w:p>
    <w:tbl>
      <w:tblPr>
        <w:tblStyle w:val="11"/>
        <w:tblW w:w="9648" w:type="dxa"/>
        <w:tblInd w:w="0" w:type="dxa"/>
        <w:tblLayout w:type="fixed"/>
        <w:tblCellMar>
          <w:top w:w="0" w:type="dxa"/>
          <w:left w:w="108" w:type="dxa"/>
          <w:bottom w:w="0" w:type="dxa"/>
          <w:right w:w="108" w:type="dxa"/>
        </w:tblCellMar>
      </w:tblPr>
      <w:tblGrid>
        <w:gridCol w:w="698"/>
        <w:gridCol w:w="1163"/>
        <w:gridCol w:w="1939"/>
        <w:gridCol w:w="4653"/>
        <w:gridCol w:w="1195"/>
      </w:tblGrid>
      <w:tr>
        <w:tblPrEx>
          <w:tblCellMar>
            <w:top w:w="0" w:type="dxa"/>
            <w:left w:w="108" w:type="dxa"/>
            <w:bottom w:w="0" w:type="dxa"/>
            <w:right w:w="108" w:type="dxa"/>
          </w:tblCellMar>
        </w:tblPrEx>
        <w:trPr>
          <w:cantSplit/>
          <w:trHeight w:val="1289" w:hRule="atLeast"/>
        </w:trPr>
        <w:tc>
          <w:tcPr>
            <w:tcW w:w="69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b/>
                <w:kern w:val="0"/>
                <w:szCs w:val="21"/>
              </w:rPr>
            </w:pPr>
            <w:r>
              <w:rPr>
                <w:rFonts w:hint="eastAsia" w:ascii="宋体" w:hAnsi="宋体" w:cs="宋体"/>
                <w:b/>
                <w:kern w:val="0"/>
                <w:szCs w:val="21"/>
              </w:rPr>
              <w:t>序号</w:t>
            </w:r>
          </w:p>
        </w:tc>
        <w:tc>
          <w:tcPr>
            <w:tcW w:w="1163"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b/>
                <w:kern w:val="0"/>
                <w:szCs w:val="21"/>
              </w:rPr>
            </w:pPr>
            <w:r>
              <w:rPr>
                <w:rFonts w:hint="eastAsia" w:ascii="宋体" w:hAnsi="宋体" w:cs="宋体"/>
                <w:b/>
                <w:kern w:val="0"/>
                <w:szCs w:val="21"/>
              </w:rPr>
              <w:t>时 间</w:t>
            </w:r>
          </w:p>
        </w:tc>
        <w:tc>
          <w:tcPr>
            <w:tcW w:w="193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b/>
                <w:kern w:val="0"/>
                <w:szCs w:val="21"/>
              </w:rPr>
            </w:pPr>
            <w:r>
              <w:rPr>
                <w:rFonts w:hint="eastAsia" w:ascii="宋体" w:hAnsi="宋体" w:cs="宋体"/>
                <w:b/>
                <w:kern w:val="0"/>
                <w:szCs w:val="21"/>
              </w:rPr>
              <w:t>评审方法</w:t>
            </w:r>
          </w:p>
          <w:p>
            <w:pPr>
              <w:widowControl/>
              <w:snapToGrid w:val="0"/>
              <w:jc w:val="center"/>
              <w:rPr>
                <w:rFonts w:ascii="宋体" w:hAnsi="宋体" w:cs="宋体"/>
                <w:b/>
                <w:kern w:val="0"/>
                <w:szCs w:val="21"/>
              </w:rPr>
            </w:pPr>
            <w:r>
              <w:rPr>
                <w:rFonts w:hint="eastAsia" w:ascii="宋体" w:hAnsi="宋体" w:cs="宋体"/>
                <w:b/>
                <w:kern w:val="0"/>
                <w:szCs w:val="21"/>
              </w:rPr>
              <w:t>及程序</w:t>
            </w:r>
          </w:p>
        </w:tc>
        <w:tc>
          <w:tcPr>
            <w:tcW w:w="4653"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b/>
                <w:kern w:val="0"/>
                <w:szCs w:val="21"/>
              </w:rPr>
            </w:pPr>
            <w:r>
              <w:rPr>
                <w:rFonts w:hint="eastAsia" w:ascii="宋体" w:hAnsi="宋体" w:cs="宋体"/>
                <w:b/>
                <w:kern w:val="0"/>
                <w:szCs w:val="21"/>
              </w:rPr>
              <w:t>工 作 程 序</w:t>
            </w:r>
          </w:p>
        </w:tc>
        <w:tc>
          <w:tcPr>
            <w:tcW w:w="119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b/>
                <w:kern w:val="0"/>
                <w:szCs w:val="21"/>
              </w:rPr>
            </w:pPr>
            <w:r>
              <w:rPr>
                <w:rFonts w:hint="eastAsia" w:ascii="宋体" w:hAnsi="宋体" w:cs="宋体"/>
                <w:b/>
                <w:kern w:val="0"/>
                <w:szCs w:val="21"/>
              </w:rPr>
              <w:t>负 责 人</w:t>
            </w:r>
          </w:p>
        </w:tc>
      </w:tr>
      <w:tr>
        <w:tblPrEx>
          <w:tblCellMar>
            <w:top w:w="0" w:type="dxa"/>
            <w:left w:w="108" w:type="dxa"/>
            <w:bottom w:w="0" w:type="dxa"/>
            <w:right w:w="108" w:type="dxa"/>
          </w:tblCellMar>
        </w:tblPrEx>
        <w:trPr>
          <w:cantSplit/>
          <w:trHeight w:val="1048" w:hRule="atLeast"/>
        </w:trPr>
        <w:tc>
          <w:tcPr>
            <w:tcW w:w="69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1</w:t>
            </w:r>
          </w:p>
        </w:tc>
        <w:tc>
          <w:tcPr>
            <w:tcW w:w="1163"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程序1</w:t>
            </w:r>
          </w:p>
        </w:tc>
        <w:tc>
          <w:tcPr>
            <w:tcW w:w="1939"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对备查资料进行审查</w:t>
            </w:r>
          </w:p>
        </w:tc>
        <w:tc>
          <w:tcPr>
            <w:tcW w:w="4653" w:type="dxa"/>
            <w:tcBorders>
              <w:top w:val="nil"/>
              <w:left w:val="nil"/>
              <w:bottom w:val="single" w:color="auto" w:sz="4" w:space="0"/>
              <w:right w:val="single" w:color="auto" w:sz="4" w:space="0"/>
            </w:tcBorders>
            <w:vAlign w:val="center"/>
          </w:tcPr>
          <w:p>
            <w:pPr>
              <w:widowControl/>
              <w:snapToGrid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按《竞投单位须知前附表》10.6内容要求，检查各竞投人的备查资料准备情况，符合的单位少于3家的，竞投失败。</w:t>
            </w:r>
          </w:p>
        </w:tc>
        <w:tc>
          <w:tcPr>
            <w:tcW w:w="119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主持人</w:t>
            </w:r>
          </w:p>
        </w:tc>
      </w:tr>
      <w:tr>
        <w:tblPrEx>
          <w:tblCellMar>
            <w:top w:w="0" w:type="dxa"/>
            <w:left w:w="108" w:type="dxa"/>
            <w:bottom w:w="0" w:type="dxa"/>
            <w:right w:w="108" w:type="dxa"/>
          </w:tblCellMar>
        </w:tblPrEx>
        <w:trPr>
          <w:cantSplit/>
          <w:trHeight w:val="823" w:hRule="atLeast"/>
        </w:trPr>
        <w:tc>
          <w:tcPr>
            <w:tcW w:w="69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2</w:t>
            </w:r>
          </w:p>
        </w:tc>
        <w:tc>
          <w:tcPr>
            <w:tcW w:w="1163"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 xml:space="preserve">程序2 </w:t>
            </w:r>
          </w:p>
        </w:tc>
        <w:tc>
          <w:tcPr>
            <w:tcW w:w="1939"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对竞投单位资格进行审查</w:t>
            </w:r>
          </w:p>
        </w:tc>
        <w:tc>
          <w:tcPr>
            <w:tcW w:w="4653" w:type="dxa"/>
            <w:tcBorders>
              <w:top w:val="nil"/>
              <w:left w:val="nil"/>
              <w:bottom w:val="single" w:color="auto" w:sz="4" w:space="0"/>
              <w:right w:val="single" w:color="auto" w:sz="4" w:space="0"/>
            </w:tcBorders>
            <w:vAlign w:val="center"/>
          </w:tcPr>
          <w:p>
            <w:pPr>
              <w:widowControl/>
              <w:snapToGrid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对竞投单位的资格是否符合项目需求书第二章《竞投单位须知前附表》1.4.1要求进行审查。公开竞投的，资格审查有效的单位少于3家的，竞投失败。</w:t>
            </w:r>
          </w:p>
        </w:tc>
        <w:tc>
          <w:tcPr>
            <w:tcW w:w="119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szCs w:val="21"/>
              </w:rPr>
              <w:t>评审委员会</w:t>
            </w:r>
          </w:p>
        </w:tc>
      </w:tr>
      <w:tr>
        <w:tblPrEx>
          <w:tblCellMar>
            <w:top w:w="0" w:type="dxa"/>
            <w:left w:w="108" w:type="dxa"/>
            <w:bottom w:w="0" w:type="dxa"/>
            <w:right w:w="108" w:type="dxa"/>
          </w:tblCellMar>
        </w:tblPrEx>
        <w:trPr>
          <w:cantSplit/>
          <w:trHeight w:val="823" w:hRule="atLeast"/>
        </w:trPr>
        <w:tc>
          <w:tcPr>
            <w:tcW w:w="69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3</w:t>
            </w:r>
          </w:p>
        </w:tc>
        <w:tc>
          <w:tcPr>
            <w:tcW w:w="1163"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程序3</w:t>
            </w:r>
          </w:p>
        </w:tc>
        <w:tc>
          <w:tcPr>
            <w:tcW w:w="1939"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拆封经济竞投文件进行唱标</w:t>
            </w:r>
          </w:p>
        </w:tc>
        <w:tc>
          <w:tcPr>
            <w:tcW w:w="4653" w:type="dxa"/>
            <w:tcBorders>
              <w:top w:val="nil"/>
              <w:left w:val="nil"/>
              <w:bottom w:val="single" w:color="auto" w:sz="4" w:space="0"/>
              <w:right w:val="single" w:color="auto" w:sz="4" w:space="0"/>
            </w:tcBorders>
            <w:vAlign w:val="center"/>
          </w:tcPr>
          <w:p>
            <w:pPr>
              <w:widowControl/>
              <w:snapToGrid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对各竞投单位经济竞投文件报价进行唱标。当有效的报价少于2家（不含2家）时，竞投失败。</w:t>
            </w:r>
          </w:p>
        </w:tc>
        <w:tc>
          <w:tcPr>
            <w:tcW w:w="119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唱标人</w:t>
            </w:r>
          </w:p>
        </w:tc>
      </w:tr>
      <w:tr>
        <w:tblPrEx>
          <w:tblCellMar>
            <w:top w:w="0" w:type="dxa"/>
            <w:left w:w="108" w:type="dxa"/>
            <w:bottom w:w="0" w:type="dxa"/>
            <w:right w:w="108" w:type="dxa"/>
          </w:tblCellMar>
        </w:tblPrEx>
        <w:trPr>
          <w:cantSplit/>
          <w:trHeight w:val="823" w:hRule="atLeast"/>
        </w:trPr>
        <w:tc>
          <w:tcPr>
            <w:tcW w:w="69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4</w:t>
            </w:r>
          </w:p>
        </w:tc>
        <w:tc>
          <w:tcPr>
            <w:tcW w:w="1163"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 xml:space="preserve">程序4 </w:t>
            </w:r>
          </w:p>
        </w:tc>
        <w:tc>
          <w:tcPr>
            <w:tcW w:w="1939"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经济竞投文件初步评审</w:t>
            </w:r>
          </w:p>
        </w:tc>
        <w:tc>
          <w:tcPr>
            <w:tcW w:w="4653" w:type="dxa"/>
            <w:tcBorders>
              <w:top w:val="nil"/>
              <w:left w:val="nil"/>
              <w:bottom w:val="single" w:color="auto" w:sz="4" w:space="0"/>
              <w:right w:val="single" w:color="auto" w:sz="4" w:space="0"/>
            </w:tcBorders>
            <w:vAlign w:val="center"/>
          </w:tcPr>
          <w:p>
            <w:pPr>
              <w:widowControl/>
              <w:snapToGrid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对各竞投单位经济竞投文件进行形式评审以及响应性评审。当有效的经济竞投文件少于2家（不含2家）时，竞投失败。</w:t>
            </w:r>
          </w:p>
        </w:tc>
        <w:tc>
          <w:tcPr>
            <w:tcW w:w="119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szCs w:val="21"/>
              </w:rPr>
              <w:t>评审委员会</w:t>
            </w:r>
          </w:p>
        </w:tc>
      </w:tr>
      <w:tr>
        <w:tblPrEx>
          <w:tblCellMar>
            <w:top w:w="0" w:type="dxa"/>
            <w:left w:w="108" w:type="dxa"/>
            <w:bottom w:w="0" w:type="dxa"/>
            <w:right w:w="108" w:type="dxa"/>
          </w:tblCellMar>
        </w:tblPrEx>
        <w:trPr>
          <w:cantSplit/>
          <w:trHeight w:val="1472" w:hRule="atLeast"/>
        </w:trPr>
        <w:tc>
          <w:tcPr>
            <w:tcW w:w="6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1163" w:type="dxa"/>
            <w:tcBorders>
              <w:top w:val="nil"/>
              <w:left w:val="single" w:color="auto" w:sz="4" w:space="0"/>
              <w:bottom w:val="single" w:color="auto" w:sz="4" w:space="0"/>
              <w:right w:val="single" w:color="auto" w:sz="4" w:space="0"/>
            </w:tcBorders>
            <w:vAlign w:val="center"/>
          </w:tcPr>
          <w:p>
            <w:pPr>
              <w:snapToGrid w:val="0"/>
              <w:jc w:val="center"/>
              <w:rPr>
                <w:rFonts w:ascii="宋体" w:hAnsi="宋体" w:cs="宋体"/>
                <w:kern w:val="0"/>
                <w:szCs w:val="21"/>
              </w:rPr>
            </w:pPr>
            <w:r>
              <w:rPr>
                <w:rFonts w:hint="eastAsia" w:ascii="宋体" w:hAnsi="宋体" w:cs="宋体"/>
                <w:kern w:val="0"/>
                <w:szCs w:val="21"/>
              </w:rPr>
              <w:t>程序5</w:t>
            </w:r>
          </w:p>
        </w:tc>
        <w:tc>
          <w:tcPr>
            <w:tcW w:w="1939" w:type="dxa"/>
            <w:tcBorders>
              <w:top w:val="nil"/>
              <w:left w:val="single" w:color="auto" w:sz="4" w:space="0"/>
              <w:bottom w:val="single" w:color="auto" w:sz="4" w:space="0"/>
              <w:right w:val="single" w:color="auto" w:sz="4" w:space="0"/>
            </w:tcBorders>
            <w:vAlign w:val="center"/>
          </w:tcPr>
          <w:p>
            <w:pPr>
              <w:snapToGrid w:val="0"/>
              <w:jc w:val="center"/>
              <w:rPr>
                <w:rFonts w:ascii="宋体" w:hAnsi="宋体" w:cs="宋体"/>
                <w:kern w:val="0"/>
                <w:szCs w:val="21"/>
              </w:rPr>
            </w:pPr>
            <w:r>
              <w:rPr>
                <w:rFonts w:hint="eastAsia" w:ascii="宋体" w:hAnsi="宋体" w:cs="宋体"/>
                <w:kern w:val="0"/>
                <w:szCs w:val="21"/>
              </w:rPr>
              <w:t>对经济竞投文件进行详细评审</w:t>
            </w:r>
          </w:p>
        </w:tc>
        <w:tc>
          <w:tcPr>
            <w:tcW w:w="4653" w:type="dxa"/>
            <w:tcBorders>
              <w:top w:val="nil"/>
              <w:left w:val="nil"/>
              <w:bottom w:val="single" w:color="auto" w:sz="4" w:space="0"/>
              <w:right w:val="single" w:color="auto" w:sz="4" w:space="0"/>
            </w:tcBorders>
            <w:vAlign w:val="center"/>
          </w:tcPr>
          <w:p>
            <w:pPr>
              <w:snapToGrid w:val="0"/>
              <w:ind w:firstLine="420" w:firstLineChars="200"/>
              <w:jc w:val="left"/>
              <w:rPr>
                <w:rFonts w:hint="eastAsia" w:ascii="宋体" w:hAnsi="宋体" w:eastAsia="宋体" w:cs="宋体"/>
                <w:szCs w:val="21"/>
              </w:rPr>
            </w:pPr>
            <w:r>
              <w:rPr>
                <w:rFonts w:hint="eastAsia" w:ascii="宋体" w:hAnsi="宋体" w:eastAsia="宋体" w:cs="宋体"/>
                <w:szCs w:val="21"/>
              </w:rPr>
              <w:t>确定各竞投单位经济竞投文件排名，确定经济竞投文件排名前6名（不足6名的按实际家数排名）。若出现竞投报价相同的情形，建设单位（项目需求单位）将以绿色施工安全防护措施费高的确定排名先后。</w:t>
            </w:r>
          </w:p>
        </w:tc>
        <w:tc>
          <w:tcPr>
            <w:tcW w:w="119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kern w:val="0"/>
                <w:szCs w:val="21"/>
              </w:rPr>
            </w:pPr>
            <w:r>
              <w:rPr>
                <w:rFonts w:hint="eastAsia" w:ascii="宋体" w:hAnsi="宋体"/>
                <w:szCs w:val="21"/>
              </w:rPr>
              <w:t>评审委员会</w:t>
            </w:r>
          </w:p>
        </w:tc>
      </w:tr>
      <w:tr>
        <w:tblPrEx>
          <w:tblCellMar>
            <w:top w:w="0" w:type="dxa"/>
            <w:left w:w="108" w:type="dxa"/>
            <w:bottom w:w="0" w:type="dxa"/>
            <w:right w:w="108" w:type="dxa"/>
          </w:tblCellMar>
        </w:tblPrEx>
        <w:trPr>
          <w:cantSplit/>
          <w:trHeight w:val="1515" w:hRule="atLeast"/>
        </w:trPr>
        <w:tc>
          <w:tcPr>
            <w:tcW w:w="698"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kern w:val="0"/>
                <w:szCs w:val="21"/>
              </w:rPr>
            </w:pPr>
            <w:r>
              <w:rPr>
                <w:rFonts w:hint="eastAsia" w:ascii="宋体" w:hAnsi="宋体" w:cs="宋体"/>
                <w:kern w:val="0"/>
                <w:szCs w:val="21"/>
              </w:rPr>
              <w:t>6</w:t>
            </w:r>
          </w:p>
        </w:tc>
        <w:tc>
          <w:tcPr>
            <w:tcW w:w="1163" w:type="dxa"/>
            <w:vMerge w:val="restart"/>
            <w:tcBorders>
              <w:top w:val="nil"/>
              <w:left w:val="single" w:color="auto" w:sz="4" w:space="0"/>
              <w:right w:val="single" w:color="auto" w:sz="4" w:space="0"/>
            </w:tcBorders>
            <w:vAlign w:val="center"/>
          </w:tcPr>
          <w:p>
            <w:pPr>
              <w:snapToGrid w:val="0"/>
              <w:jc w:val="center"/>
              <w:rPr>
                <w:rFonts w:ascii="宋体" w:hAnsi="宋体" w:cs="宋体"/>
                <w:kern w:val="0"/>
                <w:szCs w:val="21"/>
              </w:rPr>
            </w:pPr>
            <w:r>
              <w:rPr>
                <w:rFonts w:hint="eastAsia" w:ascii="宋体" w:hAnsi="宋体" w:cs="宋体"/>
                <w:kern w:val="0"/>
                <w:szCs w:val="21"/>
              </w:rPr>
              <w:t>程序6</w:t>
            </w:r>
          </w:p>
        </w:tc>
        <w:tc>
          <w:tcPr>
            <w:tcW w:w="1939" w:type="dxa"/>
            <w:vMerge w:val="restart"/>
            <w:tcBorders>
              <w:top w:val="nil"/>
              <w:left w:val="single" w:color="auto" w:sz="4" w:space="0"/>
              <w:right w:val="single" w:color="auto" w:sz="4" w:space="0"/>
            </w:tcBorders>
            <w:vAlign w:val="center"/>
          </w:tcPr>
          <w:p>
            <w:pPr>
              <w:snapToGrid w:val="0"/>
              <w:jc w:val="center"/>
              <w:rPr>
                <w:rFonts w:ascii="宋体" w:hAnsi="宋体" w:cs="宋体"/>
                <w:kern w:val="0"/>
                <w:szCs w:val="21"/>
              </w:rPr>
            </w:pPr>
            <w:r>
              <w:rPr>
                <w:rFonts w:hint="eastAsia" w:ascii="宋体" w:hAnsi="宋体" w:cs="宋体"/>
                <w:kern w:val="0"/>
                <w:szCs w:val="21"/>
              </w:rPr>
              <w:t>对基本资料竞投文件进行初步评审</w:t>
            </w:r>
          </w:p>
        </w:tc>
        <w:tc>
          <w:tcPr>
            <w:tcW w:w="4653" w:type="dxa"/>
            <w:tcBorders>
              <w:top w:val="nil"/>
              <w:left w:val="nil"/>
              <w:bottom w:val="single" w:color="auto" w:sz="4" w:space="0"/>
              <w:right w:val="single" w:color="auto" w:sz="4" w:space="0"/>
            </w:tcBorders>
            <w:vAlign w:val="center"/>
          </w:tcPr>
          <w:p>
            <w:pPr>
              <w:snapToGrid w:val="0"/>
              <w:ind w:firstLine="420" w:firstLineChars="200"/>
              <w:jc w:val="left"/>
              <w:rPr>
                <w:rFonts w:hint="eastAsia" w:ascii="宋体" w:hAnsi="宋体" w:eastAsia="宋体" w:cs="宋体"/>
                <w:szCs w:val="21"/>
              </w:rPr>
            </w:pPr>
            <w:r>
              <w:rPr>
                <w:rFonts w:hint="eastAsia" w:ascii="宋体" w:hAnsi="宋体" w:eastAsia="宋体" w:cs="宋体"/>
                <w:kern w:val="0"/>
                <w:szCs w:val="21"/>
              </w:rPr>
              <w:t>读取经济竞投文件排名前1至6名</w:t>
            </w:r>
            <w:r>
              <w:rPr>
                <w:rFonts w:hint="eastAsia" w:ascii="宋体" w:hAnsi="宋体" w:eastAsia="宋体" w:cs="宋体"/>
                <w:szCs w:val="21"/>
              </w:rPr>
              <w:t>（不足6名的按实际家数排名）</w:t>
            </w:r>
            <w:r>
              <w:rPr>
                <w:rFonts w:hint="eastAsia" w:ascii="宋体" w:hAnsi="宋体" w:eastAsia="宋体" w:cs="宋体"/>
                <w:kern w:val="0"/>
                <w:szCs w:val="21"/>
              </w:rPr>
              <w:t>的竞投单位的基本资料竞投文件。对各竞投单位基本资料竞投文件进行形式评审以及响应性评审。当合格竞投单位少于2家（不含2家）时，竞投失败。</w:t>
            </w:r>
          </w:p>
        </w:tc>
        <w:tc>
          <w:tcPr>
            <w:tcW w:w="1195" w:type="dxa"/>
            <w:vMerge w:val="restart"/>
            <w:tcBorders>
              <w:top w:val="single" w:color="auto" w:sz="4" w:space="0"/>
              <w:left w:val="nil"/>
              <w:right w:val="single" w:color="auto" w:sz="4" w:space="0"/>
            </w:tcBorders>
            <w:vAlign w:val="center"/>
          </w:tcPr>
          <w:p>
            <w:pPr>
              <w:snapToGrid w:val="0"/>
              <w:jc w:val="center"/>
              <w:rPr>
                <w:rFonts w:ascii="宋体" w:hAnsi="宋体" w:cs="宋体"/>
                <w:kern w:val="0"/>
                <w:szCs w:val="21"/>
              </w:rPr>
            </w:pPr>
            <w:r>
              <w:rPr>
                <w:rFonts w:hint="eastAsia" w:ascii="宋体" w:hAnsi="宋体"/>
                <w:szCs w:val="21"/>
              </w:rPr>
              <w:t>评审委员会</w:t>
            </w:r>
          </w:p>
        </w:tc>
      </w:tr>
      <w:tr>
        <w:tblPrEx>
          <w:tblCellMar>
            <w:top w:w="0" w:type="dxa"/>
            <w:left w:w="108" w:type="dxa"/>
            <w:bottom w:w="0" w:type="dxa"/>
            <w:right w:w="108" w:type="dxa"/>
          </w:tblCellMar>
        </w:tblPrEx>
        <w:trPr>
          <w:cantSplit/>
          <w:trHeight w:val="420" w:hRule="atLeast"/>
        </w:trPr>
        <w:tc>
          <w:tcPr>
            <w:tcW w:w="698"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kern w:val="0"/>
                <w:szCs w:val="21"/>
              </w:rPr>
            </w:pPr>
          </w:p>
        </w:tc>
        <w:tc>
          <w:tcPr>
            <w:tcW w:w="1163"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kern w:val="0"/>
                <w:szCs w:val="21"/>
              </w:rPr>
            </w:pPr>
          </w:p>
        </w:tc>
        <w:tc>
          <w:tcPr>
            <w:tcW w:w="1939"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kern w:val="0"/>
                <w:szCs w:val="21"/>
              </w:rPr>
            </w:pPr>
          </w:p>
        </w:tc>
        <w:tc>
          <w:tcPr>
            <w:tcW w:w="4653" w:type="dxa"/>
            <w:tcBorders>
              <w:top w:val="single" w:color="auto" w:sz="4" w:space="0"/>
              <w:left w:val="nil"/>
              <w:bottom w:val="single" w:color="auto" w:sz="4" w:space="0"/>
              <w:right w:val="single" w:color="auto" w:sz="4" w:space="0"/>
            </w:tcBorders>
            <w:vAlign w:val="center"/>
          </w:tcPr>
          <w:p>
            <w:pPr>
              <w:snapToGrid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宣布基本资料竞投文件评审合格情况。</w:t>
            </w:r>
          </w:p>
        </w:tc>
        <w:tc>
          <w:tcPr>
            <w:tcW w:w="1195" w:type="dxa"/>
            <w:vMerge w:val="continue"/>
            <w:tcBorders>
              <w:left w:val="nil"/>
              <w:bottom w:val="single" w:color="auto" w:sz="4" w:space="0"/>
              <w:right w:val="single" w:color="auto" w:sz="4" w:space="0"/>
            </w:tcBorders>
            <w:vAlign w:val="center"/>
          </w:tcPr>
          <w:p>
            <w:pPr>
              <w:snapToGrid w:val="0"/>
              <w:jc w:val="center"/>
              <w:rPr>
                <w:rFonts w:ascii="宋体" w:hAnsi="宋体" w:cs="宋体"/>
                <w:kern w:val="0"/>
                <w:szCs w:val="21"/>
              </w:rPr>
            </w:pPr>
          </w:p>
        </w:tc>
      </w:tr>
      <w:tr>
        <w:tblPrEx>
          <w:tblCellMar>
            <w:top w:w="0" w:type="dxa"/>
            <w:left w:w="108" w:type="dxa"/>
            <w:bottom w:w="0" w:type="dxa"/>
            <w:right w:w="108" w:type="dxa"/>
          </w:tblCellMar>
        </w:tblPrEx>
        <w:trPr>
          <w:cantSplit/>
          <w:trHeight w:val="1906" w:hRule="atLeast"/>
        </w:trPr>
        <w:tc>
          <w:tcPr>
            <w:tcW w:w="698" w:type="dxa"/>
            <w:tcBorders>
              <w:top w:val="single" w:color="auto" w:sz="2"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7</w:t>
            </w:r>
          </w:p>
        </w:tc>
        <w:tc>
          <w:tcPr>
            <w:tcW w:w="1163" w:type="dxa"/>
            <w:tcBorders>
              <w:top w:val="single" w:color="auto" w:sz="2"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程序7</w:t>
            </w:r>
          </w:p>
        </w:tc>
        <w:tc>
          <w:tcPr>
            <w:tcW w:w="1939" w:type="dxa"/>
            <w:tcBorders>
              <w:top w:val="single" w:color="auto" w:sz="2"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定 标</w:t>
            </w:r>
          </w:p>
        </w:tc>
        <w:tc>
          <w:tcPr>
            <w:tcW w:w="4653" w:type="dxa"/>
            <w:tcBorders>
              <w:top w:val="single" w:color="auto" w:sz="2" w:space="0"/>
              <w:left w:val="nil"/>
              <w:bottom w:val="single" w:color="auto" w:sz="4" w:space="0"/>
              <w:right w:val="single" w:color="auto" w:sz="4" w:space="0"/>
            </w:tcBorders>
            <w:vAlign w:val="center"/>
          </w:tcPr>
          <w:p>
            <w:pPr>
              <w:widowControl/>
              <w:spacing w:line="0" w:lineRule="atLeast"/>
              <w:rPr>
                <w:rFonts w:hint="eastAsia" w:ascii="宋体" w:hAnsi="宋体" w:eastAsia="宋体" w:cs="宋体"/>
                <w:szCs w:val="21"/>
              </w:rPr>
            </w:pPr>
            <w:r>
              <w:rPr>
                <w:rFonts w:hint="eastAsia" w:ascii="宋体" w:hAnsi="宋体" w:eastAsia="宋体" w:cs="宋体"/>
                <w:szCs w:val="21"/>
              </w:rPr>
              <w:t>1、在基本资料竞投文件评审为合格的竞投单位中，按</w:t>
            </w:r>
            <w:r>
              <w:rPr>
                <w:rFonts w:hint="eastAsia" w:ascii="宋体" w:hAnsi="宋体" w:eastAsia="宋体" w:cs="宋体"/>
                <w:kern w:val="0"/>
                <w:szCs w:val="21"/>
              </w:rPr>
              <w:t>经济竞投文件</w:t>
            </w:r>
            <w:r>
              <w:rPr>
                <w:rFonts w:hint="eastAsia" w:ascii="宋体" w:hAnsi="宋体" w:eastAsia="宋体" w:cs="宋体"/>
                <w:szCs w:val="21"/>
              </w:rPr>
              <w:t>排名的先后顺序依序确定第一、第二及第三中选候选人。</w:t>
            </w:r>
          </w:p>
          <w:p>
            <w:pPr>
              <w:widowControl/>
              <w:spacing w:line="0" w:lineRule="atLeast"/>
              <w:rPr>
                <w:rFonts w:hint="eastAsia" w:ascii="宋体" w:hAnsi="宋体" w:eastAsia="宋体" w:cs="宋体"/>
                <w:szCs w:val="21"/>
              </w:rPr>
            </w:pPr>
            <w:r>
              <w:rPr>
                <w:rFonts w:hint="eastAsia" w:ascii="宋体" w:hAnsi="宋体" w:eastAsia="宋体" w:cs="宋体"/>
                <w:szCs w:val="21"/>
              </w:rPr>
              <w:t>2、由建设单位（项目需求单位）或委托代理单位人公布中选候选人。</w:t>
            </w:r>
          </w:p>
          <w:p>
            <w:pPr>
              <w:widowControl/>
              <w:spacing w:line="0" w:lineRule="atLeast"/>
              <w:rPr>
                <w:rFonts w:hint="eastAsia" w:ascii="宋体" w:hAnsi="宋体" w:eastAsia="宋体" w:cs="宋体"/>
                <w:szCs w:val="21"/>
              </w:rPr>
            </w:pPr>
            <w:r>
              <w:rPr>
                <w:rFonts w:hint="eastAsia" w:ascii="宋体" w:hAnsi="宋体" w:eastAsia="宋体" w:cs="宋体"/>
              </w:rPr>
              <w:t>3、</w:t>
            </w:r>
            <w:r>
              <w:rPr>
                <w:rFonts w:hint="eastAsia" w:ascii="宋体" w:hAnsi="宋体" w:eastAsia="宋体" w:cs="宋体"/>
                <w:szCs w:val="21"/>
              </w:rPr>
              <w:t>中选候选人</w:t>
            </w:r>
            <w:r>
              <w:rPr>
                <w:rFonts w:hint="eastAsia" w:ascii="宋体" w:hAnsi="宋体" w:eastAsia="宋体" w:cs="宋体"/>
              </w:rPr>
              <w:t>的注册建造师中选后即被锁定。</w:t>
            </w:r>
          </w:p>
        </w:tc>
        <w:tc>
          <w:tcPr>
            <w:tcW w:w="119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p>
        </w:tc>
      </w:tr>
    </w:tbl>
    <w:p>
      <w:pPr>
        <w:spacing w:line="360" w:lineRule="auto"/>
        <w:rPr>
          <w:rFonts w:ascii="Arial" w:hAnsi="Arial"/>
          <w:b/>
          <w:bCs/>
          <w:szCs w:val="28"/>
        </w:rPr>
      </w:pPr>
    </w:p>
    <w:p>
      <w:pPr>
        <w:pStyle w:val="4"/>
      </w:pPr>
      <w:bookmarkStart w:id="41" w:name="_Toc427572491"/>
      <w:bookmarkStart w:id="42" w:name="_Toc381691737"/>
      <w:bookmarkStart w:id="43" w:name="_Toc398537316"/>
      <w:bookmarkStart w:id="44" w:name="_Toc477771269"/>
      <w:bookmarkStart w:id="45" w:name="_Toc184635077"/>
      <w:r>
        <w:rPr>
          <w:rFonts w:hint="eastAsia"/>
        </w:rPr>
        <w:t>7．合同授予</w:t>
      </w:r>
      <w:bookmarkEnd w:id="41"/>
      <w:bookmarkEnd w:id="42"/>
      <w:bookmarkEnd w:id="43"/>
      <w:bookmarkEnd w:id="44"/>
      <w:bookmarkEnd w:id="45"/>
    </w:p>
    <w:p>
      <w:pPr>
        <w:pStyle w:val="5"/>
      </w:pPr>
      <w:r>
        <w:rPr>
          <w:rFonts w:hint="eastAsia"/>
        </w:rPr>
        <w:t>7.1 定标方式</w:t>
      </w:r>
    </w:p>
    <w:p>
      <w:pPr>
        <w:spacing w:line="360" w:lineRule="auto"/>
        <w:ind w:firstLine="420" w:firstLineChars="200"/>
        <w:rPr>
          <w:rFonts w:ascii="宋体" w:hAnsi="宋体"/>
          <w:szCs w:val="21"/>
        </w:rPr>
      </w:pPr>
      <w:r>
        <w:rPr>
          <w:rFonts w:hint="eastAsia" w:ascii="宋体" w:hAnsi="宋体"/>
          <w:szCs w:val="21"/>
        </w:rPr>
        <w:t>除竞投单位须知前附表规定评审委员会直接确定中选人外，建设单位（项目需求单位）依据评审委员会推荐的中选候选人确定中选人，评审委员会推荐中选候选人的人数见竞投单位须知前附表。定标方式详见第三章评审办法。</w:t>
      </w:r>
    </w:p>
    <w:p>
      <w:pPr>
        <w:pStyle w:val="5"/>
      </w:pPr>
      <w:r>
        <w:rPr>
          <w:rFonts w:hint="eastAsia"/>
        </w:rPr>
        <w:t>7.2 中选通知</w:t>
      </w:r>
    </w:p>
    <w:p>
      <w:pPr>
        <w:spacing w:line="360" w:lineRule="auto"/>
        <w:ind w:firstLine="420" w:firstLineChars="200"/>
        <w:rPr>
          <w:rFonts w:ascii="宋体" w:hAnsi="宋体"/>
          <w:color w:val="FF0000"/>
          <w:szCs w:val="21"/>
        </w:rPr>
      </w:pPr>
      <w:r>
        <w:rPr>
          <w:rFonts w:hint="eastAsia" w:ascii="宋体" w:hAnsi="宋体"/>
          <w:color w:val="FF0000"/>
          <w:szCs w:val="21"/>
        </w:rPr>
        <w:t>中选结果公示将在中山市小榄镇</w:t>
      </w:r>
      <w:r>
        <w:rPr>
          <w:rFonts w:hint="eastAsia" w:ascii="宋体" w:hAnsi="宋体"/>
          <w:color w:val="FF0000"/>
          <w:szCs w:val="21"/>
          <w:lang w:eastAsia="zh-CN"/>
        </w:rPr>
        <w:t>盛丰</w:t>
      </w:r>
      <w:r>
        <w:rPr>
          <w:rFonts w:hint="eastAsia" w:ascii="宋体" w:hAnsi="宋体"/>
          <w:color w:val="FF0000"/>
          <w:szCs w:val="21"/>
        </w:rPr>
        <w:t>社区</w:t>
      </w:r>
      <w:r>
        <w:rPr>
          <w:rFonts w:hint="eastAsia" w:ascii="宋体" w:hAnsi="宋体"/>
          <w:color w:val="0000FF"/>
          <w:szCs w:val="21"/>
          <w:lang w:eastAsia="zh-CN"/>
        </w:rPr>
        <w:t>公告栏</w:t>
      </w:r>
      <w:r>
        <w:rPr>
          <w:rFonts w:hint="eastAsia" w:ascii="宋体" w:hAnsi="宋体"/>
          <w:color w:val="FF0000"/>
          <w:szCs w:val="21"/>
          <w:lang w:val="en-US" w:eastAsia="zh-CN"/>
        </w:rPr>
        <w:t>及中山市小榄镇城市建设和管理局</w:t>
      </w:r>
      <w:r>
        <w:rPr>
          <w:rFonts w:hint="eastAsia" w:ascii="宋体" w:hAnsi="宋体"/>
          <w:color w:val="FF0000"/>
          <w:szCs w:val="21"/>
        </w:rPr>
        <w:t>公告栏发布，请竞投单位及时查看，该公示等同于告知中选人及未中选人，建设单位（项目需求单位）不再另行发出《中选结果通知书》，公示结束后，在本章第3.3 款规定的竞投有效期内，建设单位（项目需求单位）以书面形式向中选人发出竞争选取确定书。</w:t>
      </w:r>
    </w:p>
    <w:p>
      <w:pPr>
        <w:pStyle w:val="5"/>
      </w:pPr>
      <w:r>
        <w:rPr>
          <w:rFonts w:hint="eastAsia"/>
        </w:rPr>
        <w:t>7.3 履约担保</w:t>
      </w:r>
    </w:p>
    <w:p>
      <w:pPr>
        <w:spacing w:line="360" w:lineRule="auto"/>
        <w:ind w:firstLine="420" w:firstLineChars="200"/>
        <w:rPr>
          <w:rFonts w:ascii="宋体" w:hAnsi="宋体"/>
          <w:szCs w:val="21"/>
        </w:rPr>
      </w:pPr>
      <w:r>
        <w:rPr>
          <w:rFonts w:hint="eastAsia" w:ascii="宋体" w:hAnsi="宋体"/>
          <w:szCs w:val="21"/>
        </w:rPr>
        <w:t>7.3.1 在签订合同前，中选人应按竞投单位须知前附表规定的金额、担保形式和项目需求书第四章“合同条款及格式”规定的履约担保格式向建设单位（项目需求单位）提交履约担保。</w:t>
      </w:r>
    </w:p>
    <w:p>
      <w:pPr>
        <w:spacing w:line="360" w:lineRule="auto"/>
        <w:ind w:firstLine="420" w:firstLineChars="200"/>
        <w:rPr>
          <w:rFonts w:ascii="宋体" w:hAnsi="宋体"/>
          <w:szCs w:val="21"/>
        </w:rPr>
      </w:pPr>
      <w:r>
        <w:rPr>
          <w:rFonts w:hint="eastAsia" w:ascii="宋体" w:hAnsi="宋体"/>
          <w:szCs w:val="21"/>
        </w:rPr>
        <w:t>7.3.2 中选人不能按本章第7.3.1 项要求提交履约担保的，视为放弃中选，其竞投保证金不予退还，给建设单位（项目需求单位）造成的损失超过竞投保证金数额的，中选人还应当对超过部分予以赔偿。</w:t>
      </w:r>
    </w:p>
    <w:p>
      <w:pPr>
        <w:spacing w:line="360" w:lineRule="auto"/>
        <w:ind w:firstLine="420" w:firstLineChars="200"/>
        <w:rPr>
          <w:rFonts w:ascii="宋体" w:hAnsi="宋体"/>
          <w:szCs w:val="21"/>
        </w:rPr>
      </w:pPr>
      <w:r>
        <w:rPr>
          <w:rFonts w:hint="eastAsia" w:ascii="宋体" w:hAnsi="宋体"/>
          <w:szCs w:val="21"/>
        </w:rPr>
        <w:t>7.3.3建设单位（项目需求单位）要求中选人提供履约保证金或者其他形式履约担保的，建设单位（项目需求单位）应当同时向中选人提供工程款支付担保。</w:t>
      </w:r>
    </w:p>
    <w:p>
      <w:pPr>
        <w:pStyle w:val="5"/>
      </w:pPr>
      <w:r>
        <w:rPr>
          <w:rFonts w:hint="eastAsia"/>
        </w:rPr>
        <w:t>7.4 签订合同</w:t>
      </w:r>
    </w:p>
    <w:p>
      <w:pPr>
        <w:spacing w:line="360" w:lineRule="auto"/>
        <w:ind w:firstLine="420" w:firstLineChars="200"/>
        <w:rPr>
          <w:rFonts w:ascii="宋体" w:hAnsi="宋体"/>
          <w:szCs w:val="21"/>
        </w:rPr>
      </w:pPr>
      <w:r>
        <w:rPr>
          <w:rFonts w:hint="eastAsia" w:ascii="宋体" w:hAnsi="宋体"/>
          <w:szCs w:val="21"/>
        </w:rPr>
        <w:t>7.4.1 建设单位（项目需求单位）和中选人应当自竞争选取确定书发出之日起</w:t>
      </w:r>
      <w:r>
        <w:rPr>
          <w:rFonts w:hint="eastAsia" w:ascii="宋体" w:hAnsi="宋体"/>
          <w:color w:val="FF0000"/>
          <w:szCs w:val="21"/>
        </w:rPr>
        <w:t>30</w:t>
      </w:r>
      <w:r>
        <w:rPr>
          <w:rFonts w:hint="eastAsia" w:ascii="宋体" w:hAnsi="宋体"/>
          <w:szCs w:val="21"/>
        </w:rPr>
        <w:t>天内，根据项目需求书和中选人的竞投文件订立书面合同。中选人无正当理由拒签合同的，建设单位（项目需求单位）取消其中选资格，其竞投保证金不予退还；给建设单位（项目需求单位）造成的损失超过竞投保证金数额的，中选人还应当对超过部分予以赔偿。</w:t>
      </w:r>
    </w:p>
    <w:p>
      <w:pPr>
        <w:spacing w:line="360" w:lineRule="auto"/>
        <w:ind w:firstLine="420" w:firstLineChars="200"/>
        <w:rPr>
          <w:rFonts w:ascii="宋体" w:hAnsi="宋体"/>
          <w:szCs w:val="21"/>
        </w:rPr>
      </w:pPr>
      <w:r>
        <w:rPr>
          <w:rFonts w:hint="eastAsia" w:ascii="宋体" w:hAnsi="宋体"/>
          <w:szCs w:val="21"/>
        </w:rPr>
        <w:t>7.4.2 发出竞争选取确定书后，建设单位（项目需求单位）无正当理由拒签合同的，建设单位（项目需求单位）向中选人退还双倍竞投保证金；给中选人造成损失的，还应当赔偿损失。</w:t>
      </w:r>
    </w:p>
    <w:p>
      <w:pPr>
        <w:pStyle w:val="4"/>
      </w:pPr>
      <w:bookmarkStart w:id="46" w:name="_Toc427572492"/>
      <w:bookmarkStart w:id="47" w:name="_Toc477771270"/>
      <w:bookmarkStart w:id="48" w:name="_Toc184635078"/>
      <w:bookmarkStart w:id="49" w:name="_Toc381691738"/>
      <w:bookmarkStart w:id="50" w:name="_Toc398537317"/>
      <w:r>
        <w:rPr>
          <w:rFonts w:hint="eastAsia"/>
        </w:rPr>
        <w:t>8．重新竞投和不再</w:t>
      </w:r>
      <w:bookmarkEnd w:id="46"/>
      <w:bookmarkEnd w:id="47"/>
      <w:bookmarkEnd w:id="48"/>
      <w:bookmarkEnd w:id="49"/>
      <w:bookmarkEnd w:id="50"/>
      <w:r>
        <w:rPr>
          <w:rFonts w:hint="eastAsia"/>
        </w:rPr>
        <w:t>竞投</w:t>
      </w:r>
    </w:p>
    <w:p>
      <w:pPr>
        <w:pStyle w:val="5"/>
      </w:pPr>
      <w:r>
        <w:rPr>
          <w:rFonts w:hint="eastAsia"/>
        </w:rPr>
        <w:t>8.1 重新竞投</w:t>
      </w:r>
    </w:p>
    <w:p>
      <w:pPr>
        <w:spacing w:line="360" w:lineRule="auto"/>
        <w:ind w:firstLine="420" w:firstLineChars="200"/>
        <w:rPr>
          <w:rFonts w:ascii="宋体" w:hAnsi="宋体"/>
          <w:szCs w:val="21"/>
        </w:rPr>
      </w:pPr>
      <w:r>
        <w:rPr>
          <w:rFonts w:hint="eastAsia" w:ascii="宋体" w:hAnsi="宋体"/>
          <w:szCs w:val="21"/>
        </w:rPr>
        <w:t>有下列情形之一的，建设单位（项目需求单位）将重新竞投：</w:t>
      </w:r>
    </w:p>
    <w:p>
      <w:pPr>
        <w:spacing w:line="360" w:lineRule="auto"/>
        <w:ind w:firstLine="420" w:firstLineChars="200"/>
        <w:rPr>
          <w:rFonts w:ascii="宋体" w:hAnsi="宋体"/>
          <w:szCs w:val="21"/>
        </w:rPr>
      </w:pPr>
      <w:r>
        <w:rPr>
          <w:rFonts w:hint="eastAsia" w:ascii="宋体" w:hAnsi="宋体"/>
          <w:szCs w:val="21"/>
        </w:rPr>
        <w:t>（l）竞投截止时间止，递交竞投文件的竞投单位少于3个 ；</w:t>
      </w:r>
    </w:p>
    <w:p>
      <w:pPr>
        <w:spacing w:line="360" w:lineRule="auto"/>
        <w:ind w:firstLine="420" w:firstLineChars="200"/>
        <w:rPr>
          <w:rFonts w:ascii="宋体" w:hAnsi="宋体"/>
          <w:szCs w:val="21"/>
        </w:rPr>
      </w:pPr>
      <w:r>
        <w:rPr>
          <w:rFonts w:hint="eastAsia" w:ascii="宋体" w:hAnsi="宋体"/>
          <w:szCs w:val="21"/>
        </w:rPr>
        <w:t>（2）资格审查合格的竞投单位少于3个的 ；</w:t>
      </w:r>
    </w:p>
    <w:p>
      <w:pPr>
        <w:spacing w:line="360" w:lineRule="auto"/>
        <w:ind w:firstLine="420" w:firstLineChars="200"/>
        <w:rPr>
          <w:rFonts w:ascii="宋体" w:hAnsi="宋体"/>
          <w:szCs w:val="21"/>
        </w:rPr>
      </w:pPr>
      <w:r>
        <w:rPr>
          <w:rFonts w:hint="eastAsia" w:ascii="宋体" w:hAnsi="宋体"/>
          <w:szCs w:val="21"/>
        </w:rPr>
        <w:t>（3）经济竞投文件有效的竞投单位少于2 个的；</w:t>
      </w:r>
    </w:p>
    <w:p>
      <w:pPr>
        <w:spacing w:line="360" w:lineRule="auto"/>
        <w:ind w:firstLine="420" w:firstLineChars="200"/>
        <w:rPr>
          <w:rFonts w:ascii="宋体" w:hAnsi="宋体"/>
          <w:szCs w:val="21"/>
        </w:rPr>
      </w:pPr>
      <w:r>
        <w:rPr>
          <w:rFonts w:hint="eastAsia" w:ascii="宋体" w:hAnsi="宋体"/>
          <w:szCs w:val="21"/>
        </w:rPr>
        <w:t>（4）基本资料竞投文件有效的竞投单位少于2个的；</w:t>
      </w:r>
    </w:p>
    <w:p>
      <w:pPr>
        <w:spacing w:line="360" w:lineRule="auto"/>
        <w:ind w:firstLine="420" w:firstLineChars="200"/>
        <w:rPr>
          <w:rFonts w:ascii="宋体" w:hAnsi="宋体"/>
          <w:szCs w:val="21"/>
        </w:rPr>
      </w:pPr>
      <w:r>
        <w:rPr>
          <w:rFonts w:hint="eastAsia" w:ascii="宋体" w:hAnsi="宋体"/>
          <w:szCs w:val="21"/>
        </w:rPr>
        <w:t>（5）经评审委员会评审后否决所有竞投的；</w:t>
      </w:r>
    </w:p>
    <w:p>
      <w:pPr>
        <w:spacing w:line="360" w:lineRule="auto"/>
        <w:ind w:firstLine="420" w:firstLineChars="200"/>
        <w:rPr>
          <w:rFonts w:ascii="宋体" w:hAnsi="宋体"/>
          <w:szCs w:val="21"/>
        </w:rPr>
      </w:pPr>
      <w:r>
        <w:rPr>
          <w:rFonts w:hint="eastAsia" w:ascii="宋体" w:hAnsi="宋体"/>
          <w:szCs w:val="21"/>
        </w:rPr>
        <w:t>（6）法律法规规定的重新竞投的其他情况。</w:t>
      </w:r>
    </w:p>
    <w:p>
      <w:pPr>
        <w:pStyle w:val="4"/>
      </w:pPr>
      <w:bookmarkStart w:id="51" w:name="_Toc381691739"/>
      <w:bookmarkStart w:id="52" w:name="_Toc398537318"/>
      <w:bookmarkStart w:id="53" w:name="_Toc477771271"/>
      <w:bookmarkStart w:id="54" w:name="_Toc184635079"/>
      <w:bookmarkStart w:id="55" w:name="_Toc427572493"/>
      <w:r>
        <w:rPr>
          <w:rFonts w:hint="eastAsia"/>
        </w:rPr>
        <w:t>9．纪律和监督</w:t>
      </w:r>
      <w:bookmarkEnd w:id="51"/>
      <w:bookmarkEnd w:id="52"/>
      <w:bookmarkEnd w:id="53"/>
      <w:bookmarkEnd w:id="54"/>
      <w:bookmarkEnd w:id="55"/>
    </w:p>
    <w:p>
      <w:pPr>
        <w:pStyle w:val="5"/>
      </w:pPr>
      <w:r>
        <w:rPr>
          <w:rFonts w:hint="eastAsia"/>
        </w:rPr>
        <w:t>9.1 对建设单位（项目需求单位）的纪律要求</w:t>
      </w:r>
    </w:p>
    <w:p>
      <w:pPr>
        <w:spacing w:line="360" w:lineRule="auto"/>
        <w:ind w:firstLine="420" w:firstLineChars="200"/>
        <w:rPr>
          <w:rFonts w:ascii="宋体" w:hAnsi="宋体"/>
          <w:szCs w:val="21"/>
        </w:rPr>
      </w:pPr>
      <w:r>
        <w:rPr>
          <w:rFonts w:hint="eastAsia" w:ascii="宋体" w:hAnsi="宋体"/>
          <w:szCs w:val="21"/>
        </w:rPr>
        <w:t>建设单位（项目需求单位）不得泄漏竞投竞投活动中应当保密的情况和资料，不得与竞投单位串通损害国家利益、社会公共利益或者他人合法权益。</w:t>
      </w:r>
    </w:p>
    <w:p>
      <w:pPr>
        <w:pStyle w:val="5"/>
      </w:pPr>
      <w:r>
        <w:rPr>
          <w:rFonts w:hint="eastAsia"/>
        </w:rPr>
        <w:t>9.2 对竞投单位的纪律要求</w:t>
      </w:r>
    </w:p>
    <w:p>
      <w:pPr>
        <w:spacing w:line="360" w:lineRule="auto"/>
        <w:ind w:firstLine="420" w:firstLineChars="200"/>
        <w:rPr>
          <w:rFonts w:ascii="宋体" w:hAnsi="宋体"/>
          <w:szCs w:val="21"/>
        </w:rPr>
      </w:pPr>
      <w:r>
        <w:rPr>
          <w:rFonts w:hint="eastAsia" w:ascii="宋体" w:hAnsi="宋体"/>
          <w:szCs w:val="21"/>
        </w:rPr>
        <w:t>竞投单位不得相互串通竞投或者与建设单位（项目需求单位）串通竞投，不得向建设单位（项目需求单位）或者评审委员会成员行贿谋取中选，不得以他人名义竞投或者以其他方式弄虚作假骗取中选；竞投单位不得以任何方式干扰、影响评审工作。</w:t>
      </w:r>
    </w:p>
    <w:p>
      <w:pPr>
        <w:pStyle w:val="5"/>
      </w:pPr>
      <w:r>
        <w:rPr>
          <w:rFonts w:hint="eastAsia"/>
        </w:rPr>
        <w:t>9.3 对评审委员会成员的纪律要求</w:t>
      </w:r>
    </w:p>
    <w:p>
      <w:pPr>
        <w:spacing w:line="360" w:lineRule="auto"/>
        <w:ind w:firstLine="420" w:firstLineChars="200"/>
        <w:rPr>
          <w:rFonts w:ascii="宋体" w:hAnsi="宋体"/>
          <w:szCs w:val="21"/>
        </w:rPr>
      </w:pPr>
      <w:r>
        <w:rPr>
          <w:rFonts w:hint="eastAsia" w:ascii="宋体" w:hAnsi="宋体"/>
          <w:szCs w:val="21"/>
        </w:rPr>
        <w:t>评审委员会成员不得收受他人的财物或者其他好处，不得向他人透漏对竞投文件的评审和比较、中选候选人的推荐情况以及评审有关的其他情况。在评审活动中，评审委员会成员不得擅离职守，影响评审程序正常进行，不得使用第三章“评审办法”没有规定的评审因素和标准进行评审。</w:t>
      </w:r>
    </w:p>
    <w:p>
      <w:pPr>
        <w:pStyle w:val="5"/>
      </w:pPr>
      <w:r>
        <w:rPr>
          <w:rFonts w:hint="eastAsia"/>
        </w:rPr>
        <w:t>9.4 对与评审活动有关的工作人员的纪律要求</w:t>
      </w:r>
    </w:p>
    <w:p>
      <w:pPr>
        <w:spacing w:line="360" w:lineRule="auto"/>
        <w:ind w:firstLine="420" w:firstLineChars="200"/>
        <w:rPr>
          <w:rFonts w:ascii="宋体" w:hAnsi="宋体"/>
          <w:szCs w:val="21"/>
        </w:rPr>
      </w:pPr>
      <w:r>
        <w:rPr>
          <w:rFonts w:hint="eastAsia" w:ascii="宋体" w:hAnsi="宋体"/>
          <w:szCs w:val="21"/>
        </w:rPr>
        <w:t>与评审活动有关的工作人员不得收受他人的财物或者其他好处，不得向他人透漏对竞投文件的评审和比较、中选候选人的推荐情况以及评审有关的其他情况。在评审活动中，与竞标活动有关的工作人员不得擅离职守，影响评审程序正常进行。</w:t>
      </w:r>
    </w:p>
    <w:p>
      <w:pPr>
        <w:pStyle w:val="5"/>
      </w:pPr>
      <w:r>
        <w:rPr>
          <w:rFonts w:hint="eastAsia"/>
        </w:rPr>
        <w:t>9.5 投诉</w:t>
      </w:r>
    </w:p>
    <w:p>
      <w:pPr>
        <w:spacing w:line="360" w:lineRule="auto"/>
        <w:ind w:firstLine="420" w:firstLineChars="200"/>
        <w:rPr>
          <w:rFonts w:ascii="宋体" w:hAnsi="宋体"/>
          <w:color w:val="FF0000"/>
          <w:szCs w:val="21"/>
        </w:rPr>
      </w:pPr>
      <w:r>
        <w:rPr>
          <w:rFonts w:hint="eastAsia" w:ascii="宋体" w:hAnsi="宋体"/>
          <w:szCs w:val="21"/>
        </w:rPr>
        <w:t>竞投单位和其他利害关系人对依法必须进行竞投的项目的评审结果有异议的，应当在中选候选人公示期间提出，竞投单位和其他利害关系人认为本次竞投活动不符合法律行政法规规定的，可以自知道或者应当知道之日起10个日历天内向有关行政监督部门投诉，被投诉单位在收到查询函7个工作日内向建设单位（项目需求单位）及行政监督部门提供书面回复及有效的证明资料。依法必须进行竞投的项目的竞投活动违反相关的规定，对中选结果造成实质性影响，且不能采取补救措施予以纠正的，竞投、中选无效，应当依法重新组织竞投或者评审。</w:t>
      </w:r>
    </w:p>
    <w:p>
      <w:pPr>
        <w:pStyle w:val="4"/>
        <w:rPr>
          <w:sz w:val="21"/>
          <w:szCs w:val="21"/>
        </w:rPr>
      </w:pPr>
      <w:bookmarkStart w:id="56" w:name="_Toc398537319"/>
      <w:bookmarkStart w:id="57" w:name="_Toc427572494"/>
      <w:bookmarkStart w:id="58" w:name="_Toc381691740"/>
      <w:bookmarkStart w:id="59" w:name="_Toc477771272"/>
      <w:bookmarkStart w:id="60" w:name="_Toc184635080"/>
      <w:r>
        <w:rPr>
          <w:rFonts w:hint="eastAsia"/>
        </w:rPr>
        <w:t>10、需要补充的其他内容</w:t>
      </w:r>
      <w:bookmarkEnd w:id="56"/>
      <w:bookmarkEnd w:id="57"/>
      <w:bookmarkEnd w:id="58"/>
      <w:bookmarkEnd w:id="59"/>
      <w:bookmarkEnd w:id="60"/>
    </w:p>
    <w:p>
      <w:pPr>
        <w:spacing w:line="360" w:lineRule="auto"/>
        <w:rPr>
          <w:rFonts w:ascii="宋体" w:hAnsi="宋体"/>
          <w:b/>
          <w:szCs w:val="21"/>
        </w:rPr>
      </w:pPr>
      <w:r>
        <w:rPr>
          <w:rFonts w:hint="eastAsia"/>
          <w:b/>
          <w:sz w:val="24"/>
        </w:rPr>
        <w:t>10.1</w:t>
      </w:r>
      <w:r>
        <w:rPr>
          <w:rFonts w:hint="eastAsia" w:ascii="宋体" w:hAnsi="宋体"/>
          <w:b/>
          <w:szCs w:val="21"/>
        </w:rPr>
        <w:t>项目管理机构基本要求</w:t>
      </w:r>
    </w:p>
    <w:p>
      <w:pPr>
        <w:spacing w:line="400" w:lineRule="exact"/>
        <w:jc w:val="center"/>
        <w:rPr>
          <w:rFonts w:ascii="宋体" w:hAnsi="宋体"/>
          <w:sz w:val="28"/>
          <w:szCs w:val="28"/>
        </w:rPr>
      </w:pPr>
      <w:r>
        <w:rPr>
          <w:rFonts w:hint="eastAsia" w:ascii="宋体" w:hAnsi="宋体"/>
          <w:sz w:val="28"/>
          <w:szCs w:val="28"/>
        </w:rPr>
        <w:t>《项目管理机构主要人员配置表》</w:t>
      </w:r>
    </w:p>
    <w:tbl>
      <w:tblPr>
        <w:tblStyle w:val="11"/>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999"/>
        <w:gridCol w:w="1233"/>
        <w:gridCol w:w="216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36" w:type="dxa"/>
            <w:vAlign w:val="center"/>
          </w:tcPr>
          <w:p>
            <w:pPr>
              <w:jc w:val="center"/>
              <w:rPr>
                <w:rFonts w:ascii="宋体" w:cs="Times New Roman"/>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序号</w:t>
            </w:r>
          </w:p>
        </w:tc>
        <w:tc>
          <w:tcPr>
            <w:tcW w:w="1999" w:type="dxa"/>
            <w:vAlign w:val="center"/>
          </w:tcPr>
          <w:p>
            <w:pPr>
              <w:jc w:val="center"/>
              <w:rPr>
                <w:rFonts w:ascii="宋体" w:cs="Times New Roman"/>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人员名称</w:t>
            </w:r>
          </w:p>
        </w:tc>
        <w:tc>
          <w:tcPr>
            <w:tcW w:w="1233" w:type="dxa"/>
            <w:vAlign w:val="center"/>
          </w:tcPr>
          <w:p>
            <w:pPr>
              <w:jc w:val="center"/>
              <w:rPr>
                <w:rFonts w:ascii="宋体" w:cs="Times New Roman"/>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人数</w:t>
            </w:r>
          </w:p>
        </w:tc>
        <w:tc>
          <w:tcPr>
            <w:tcW w:w="2160" w:type="dxa"/>
            <w:vAlign w:val="center"/>
          </w:tcPr>
          <w:p>
            <w:pPr>
              <w:jc w:val="center"/>
              <w:rPr>
                <w:rFonts w:ascii="宋体" w:cs="Times New Roman"/>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专业及级别</w:t>
            </w:r>
          </w:p>
        </w:tc>
        <w:tc>
          <w:tcPr>
            <w:tcW w:w="3240" w:type="dxa"/>
            <w:vAlign w:val="center"/>
          </w:tcPr>
          <w:p>
            <w:pPr>
              <w:jc w:val="center"/>
              <w:rPr>
                <w:rFonts w:ascii="宋体" w:cs="Times New Roman"/>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36" w:type="dxa"/>
            <w:vAlign w:val="center"/>
          </w:tcPr>
          <w:p>
            <w:pPr>
              <w:jc w:val="center"/>
              <w:rPr>
                <w:rFonts w:ascii="宋体" w:cs="Times New Roman"/>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w:t>
            </w:r>
          </w:p>
        </w:tc>
        <w:tc>
          <w:tcPr>
            <w:tcW w:w="1999" w:type="dxa"/>
            <w:vAlign w:val="center"/>
          </w:tcPr>
          <w:p>
            <w:pPr>
              <w:jc w:val="cente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项目负责人</w:t>
            </w:r>
          </w:p>
        </w:tc>
        <w:tc>
          <w:tcPr>
            <w:tcW w:w="1233" w:type="dxa"/>
            <w:vAlign w:val="center"/>
          </w:tcPr>
          <w:p>
            <w:pPr>
              <w:jc w:val="center"/>
              <w:rPr>
                <w:rFonts w:ascii="宋体" w:cs="Times New Roman"/>
                <w:color w:val="000000" w:themeColor="text1"/>
                <w14:textFill>
                  <w14:solidFill>
                    <w14:schemeClr w14:val="tx1"/>
                  </w14:solidFill>
                </w14:textFill>
              </w:rPr>
            </w:pPr>
            <w:r>
              <w:rPr>
                <w:rFonts w:ascii="宋体" w:hAnsi="宋体" w:cs="宋体"/>
                <w:color w:val="000000" w:themeColor="text1"/>
                <w:u w:val="single"/>
                <w14:textFill>
                  <w14:solidFill>
                    <w14:schemeClr w14:val="tx1"/>
                  </w14:solidFill>
                </w14:textFill>
              </w:rPr>
              <w:t xml:space="preserve">   1   </w:t>
            </w:r>
            <w:r>
              <w:rPr>
                <w:rFonts w:hint="eastAsia" w:ascii="宋体" w:hAnsi="宋体" w:cs="宋体"/>
                <w:color w:val="000000" w:themeColor="text1"/>
                <w14:textFill>
                  <w14:solidFill>
                    <w14:schemeClr w14:val="tx1"/>
                  </w14:solidFill>
                </w14:textFill>
              </w:rPr>
              <w:t>人</w:t>
            </w:r>
          </w:p>
        </w:tc>
        <w:tc>
          <w:tcPr>
            <w:tcW w:w="2160" w:type="dxa"/>
            <w:vAlign w:val="center"/>
          </w:tcPr>
          <w:p>
            <w:pP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专业：</w:t>
            </w:r>
            <w:r>
              <w:rPr>
                <w:rFonts w:hint="eastAsia" w:ascii="宋体" w:hAnsi="宋体" w:cs="宋体"/>
                <w:color w:val="000000" w:themeColor="text1"/>
                <w:u w:val="single"/>
                <w14:textFill>
                  <w14:solidFill>
                    <w14:schemeClr w14:val="tx1"/>
                  </w14:solidFill>
                </w14:textFill>
              </w:rPr>
              <w:t>建筑工程</w:t>
            </w:r>
          </w:p>
          <w:p>
            <w:pP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r>
              <w:rPr>
                <w:rFonts w:hint="eastAsia" w:ascii="宋体" w:hAnsi="宋体" w:cs="宋体"/>
                <w:color w:val="000000" w:themeColor="text1"/>
                <w:u w:val="single"/>
                <w14:textFill>
                  <w14:solidFill>
                    <w14:schemeClr w14:val="tx1"/>
                  </w14:solidFill>
                </w14:textFill>
              </w:rPr>
              <w:t>二级或以上资格</w:t>
            </w:r>
          </w:p>
        </w:tc>
        <w:tc>
          <w:tcPr>
            <w:tcW w:w="3240" w:type="dxa"/>
            <w:vAlign w:val="center"/>
          </w:tcPr>
          <w:p>
            <w:pPr>
              <w:ind w:firstLine="210" w:firstLineChars="100"/>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提供注册建造师证、安全生产考核合格证</w:t>
            </w:r>
            <w:r>
              <w:rPr>
                <w:rFonts w:ascii="宋体" w:hAnsi="宋体" w:cs="宋体"/>
                <w:color w:val="000000" w:themeColor="text1"/>
                <w14:textFill>
                  <w14:solidFill>
                    <w14:schemeClr w14:val="tx1"/>
                  </w14:solidFill>
                </w14:textFill>
              </w:rPr>
              <w:t>B</w:t>
            </w:r>
            <w:r>
              <w:rPr>
                <w:rFonts w:hint="eastAsia" w:ascii="宋体" w:hAnsi="宋体" w:cs="宋体"/>
                <w:color w:val="000000" w:themeColor="text1"/>
                <w14:textFill>
                  <w14:solidFill>
                    <w14:schemeClr w14:val="tx1"/>
                  </w14:solidFill>
                </w14:textFill>
              </w:rPr>
              <w:t>证、身份证及社保证明复印件（所有证件必须加盖单位公章）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36" w:type="dxa"/>
            <w:vAlign w:val="center"/>
          </w:tcPr>
          <w:p>
            <w:pPr>
              <w:jc w:val="center"/>
              <w:rPr>
                <w:rFonts w:ascii="宋体" w:cs="Times New Roman"/>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w:t>
            </w:r>
          </w:p>
        </w:tc>
        <w:tc>
          <w:tcPr>
            <w:tcW w:w="1999" w:type="dxa"/>
            <w:vAlign w:val="center"/>
          </w:tcPr>
          <w:p>
            <w:pPr>
              <w:jc w:val="cente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233" w:type="dxa"/>
            <w:vAlign w:val="center"/>
          </w:tcPr>
          <w:p>
            <w:pPr>
              <w:rPr>
                <w:rFonts w:ascii="宋体" w:cs="Times New Roman"/>
                <w:color w:val="000000" w:themeColor="text1"/>
                <w14:textFill>
                  <w14:solidFill>
                    <w14:schemeClr w14:val="tx1"/>
                  </w14:solidFill>
                </w14:textFill>
              </w:rPr>
            </w:pPr>
            <w:r>
              <w:rPr>
                <w:rFonts w:ascii="宋体" w:hAnsi="宋体" w:cs="宋体"/>
                <w:color w:val="000000" w:themeColor="text1"/>
                <w:u w:val="single"/>
                <w14:textFill>
                  <w14:solidFill>
                    <w14:schemeClr w14:val="tx1"/>
                  </w14:solidFill>
                </w14:textFill>
              </w:rPr>
              <w:t xml:space="preserve">    1  </w:t>
            </w:r>
            <w:r>
              <w:rPr>
                <w:rFonts w:hint="eastAsia" w:ascii="宋体" w:hAnsi="宋体" w:cs="宋体"/>
                <w:color w:val="000000" w:themeColor="text1"/>
                <w14:textFill>
                  <w14:solidFill>
                    <w14:schemeClr w14:val="tx1"/>
                  </w14:solidFill>
                </w14:textFill>
              </w:rPr>
              <w:t>人</w:t>
            </w:r>
          </w:p>
        </w:tc>
        <w:tc>
          <w:tcPr>
            <w:tcW w:w="2160" w:type="dxa"/>
            <w:vAlign w:val="center"/>
          </w:tcPr>
          <w:p>
            <w:pP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专业：</w:t>
            </w:r>
            <w:r>
              <w:rPr>
                <w:rFonts w:hint="eastAsia" w:cs="宋体"/>
                <w:color w:val="000000" w:themeColor="text1"/>
                <w:u w:val="single"/>
                <w14:textFill>
                  <w14:solidFill>
                    <w14:schemeClr w14:val="tx1"/>
                  </w14:solidFill>
                </w14:textFill>
              </w:rPr>
              <w:t>建筑类</w:t>
            </w:r>
          </w:p>
          <w:p>
            <w:pP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r>
              <w:rPr>
                <w:rFonts w:hint="eastAsia" w:ascii="宋体" w:hAnsi="宋体" w:cs="宋体"/>
                <w:color w:val="000000" w:themeColor="text1"/>
                <w:u w:val="single"/>
                <w:lang w:eastAsia="zh-CN"/>
                <w14:textFill>
                  <w14:solidFill>
                    <w14:schemeClr w14:val="tx1"/>
                  </w14:solidFill>
                </w14:textFill>
              </w:rPr>
              <w:t>中级</w:t>
            </w:r>
            <w:r>
              <w:rPr>
                <w:rFonts w:hint="eastAsia" w:ascii="宋体" w:hAnsi="宋体" w:cs="宋体"/>
                <w:color w:val="000000" w:themeColor="text1"/>
                <w:u w:val="single"/>
                <w14:textFill>
                  <w14:solidFill>
                    <w14:schemeClr w14:val="tx1"/>
                  </w14:solidFill>
                </w14:textFill>
              </w:rPr>
              <w:t>工程师及以上职称</w:t>
            </w:r>
          </w:p>
        </w:tc>
        <w:tc>
          <w:tcPr>
            <w:tcW w:w="3240" w:type="dxa"/>
            <w:vAlign w:val="center"/>
          </w:tcPr>
          <w:p>
            <w:pPr>
              <w:ind w:firstLine="210" w:firstLineChars="100"/>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提供技术负责人职称证、聘书、身份证及社保证明复印件（所有证件必须加盖单位公章）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36" w:type="dxa"/>
            <w:vAlign w:val="center"/>
          </w:tcPr>
          <w:p>
            <w:pPr>
              <w:jc w:val="center"/>
              <w:rPr>
                <w:rFonts w:ascii="宋体" w:cs="Times New Roman"/>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3</w:t>
            </w:r>
          </w:p>
        </w:tc>
        <w:tc>
          <w:tcPr>
            <w:tcW w:w="1999" w:type="dxa"/>
            <w:vAlign w:val="center"/>
          </w:tcPr>
          <w:p>
            <w:pPr>
              <w:jc w:val="cente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施工员</w:t>
            </w:r>
          </w:p>
        </w:tc>
        <w:tc>
          <w:tcPr>
            <w:tcW w:w="1233" w:type="dxa"/>
            <w:vAlign w:val="center"/>
          </w:tcPr>
          <w:p>
            <w:pPr>
              <w:jc w:val="center"/>
              <w:rPr>
                <w:rFonts w:ascii="宋体" w:cs="Times New Roman"/>
                <w:color w:val="000000" w:themeColor="text1"/>
                <w14:textFill>
                  <w14:solidFill>
                    <w14:schemeClr w14:val="tx1"/>
                  </w14:solidFill>
                </w14:textFill>
              </w:rPr>
            </w:pPr>
            <w:r>
              <w:rPr>
                <w:rFonts w:hint="eastAsia" w:ascii="宋体" w:hAnsi="宋体" w:cs="宋体"/>
                <w:color w:val="000000" w:themeColor="text1"/>
                <w:u w:val="single"/>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人</w:t>
            </w:r>
          </w:p>
        </w:tc>
        <w:tc>
          <w:tcPr>
            <w:tcW w:w="2160" w:type="dxa"/>
            <w:vAlign w:val="center"/>
          </w:tcPr>
          <w:p>
            <w:pPr>
              <w:jc w:val="center"/>
              <w:rPr>
                <w:rFonts w:ascii="宋体" w:cs="Times New Roman"/>
                <w:color w:val="000000" w:themeColor="text1"/>
                <w14:textFill>
                  <w14:solidFill>
                    <w14:schemeClr w14:val="tx1"/>
                  </w14:solidFill>
                </w14:textFill>
              </w:rPr>
            </w:pPr>
          </w:p>
        </w:tc>
        <w:tc>
          <w:tcPr>
            <w:tcW w:w="3240" w:type="dxa"/>
            <w:vAlign w:val="center"/>
          </w:tcPr>
          <w:p>
            <w:pP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提供施工员岗位证（或培训证和聘书）、身份证及社保证明复印件（所有证件必须加盖单位公章）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6" w:type="dxa"/>
            <w:vAlign w:val="center"/>
          </w:tcPr>
          <w:p>
            <w:pPr>
              <w:jc w:val="center"/>
              <w:rPr>
                <w:rFonts w:ascii="宋体" w:cs="Times New Roman"/>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4</w:t>
            </w:r>
          </w:p>
        </w:tc>
        <w:tc>
          <w:tcPr>
            <w:tcW w:w="1999" w:type="dxa"/>
            <w:vAlign w:val="center"/>
          </w:tcPr>
          <w:p>
            <w:pPr>
              <w:jc w:val="cente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安全员</w:t>
            </w:r>
          </w:p>
        </w:tc>
        <w:tc>
          <w:tcPr>
            <w:tcW w:w="1233" w:type="dxa"/>
            <w:vAlign w:val="center"/>
          </w:tcPr>
          <w:p>
            <w:pPr>
              <w:jc w:val="center"/>
              <w:rPr>
                <w:rFonts w:ascii="宋体" w:cs="Times New Roman"/>
                <w:color w:val="000000" w:themeColor="text1"/>
                <w14:textFill>
                  <w14:solidFill>
                    <w14:schemeClr w14:val="tx1"/>
                  </w14:solidFill>
                </w14:textFill>
              </w:rPr>
            </w:pPr>
            <w:r>
              <w:rPr>
                <w:rFonts w:hint="eastAsia" w:ascii="宋体" w:hAnsi="宋体" w:cs="宋体"/>
                <w:color w:val="000000" w:themeColor="text1"/>
                <w:u w:val="single"/>
                <w:lang w:val="en-US" w:eastAsia="zh-CN"/>
                <w14:textFill>
                  <w14:solidFill>
                    <w14:schemeClr w14:val="tx1"/>
                  </w14:solidFill>
                </w14:textFill>
              </w:rPr>
              <w:t>1</w:t>
            </w:r>
            <w:r>
              <w:rPr>
                <w:rFonts w:hint="eastAsia" w:ascii="宋体" w:hAnsi="宋体" w:cs="宋体"/>
                <w:color w:val="000000" w:themeColor="text1"/>
                <w14:textFill>
                  <w14:solidFill>
                    <w14:schemeClr w14:val="tx1"/>
                  </w14:solidFill>
                </w14:textFill>
              </w:rPr>
              <w:t>人</w:t>
            </w:r>
          </w:p>
        </w:tc>
        <w:tc>
          <w:tcPr>
            <w:tcW w:w="2160" w:type="dxa"/>
            <w:vAlign w:val="center"/>
          </w:tcPr>
          <w:p>
            <w:pPr>
              <w:jc w:val="center"/>
              <w:rPr>
                <w:rFonts w:ascii="宋体" w:cs="Times New Roman"/>
                <w:color w:val="000000" w:themeColor="text1"/>
                <w14:textFill>
                  <w14:solidFill>
                    <w14:schemeClr w14:val="tx1"/>
                  </w14:solidFill>
                </w14:textFill>
              </w:rPr>
            </w:pPr>
          </w:p>
        </w:tc>
        <w:tc>
          <w:tcPr>
            <w:tcW w:w="3240" w:type="dxa"/>
            <w:vAlign w:val="center"/>
          </w:tcPr>
          <w:p>
            <w:pP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提供安全员证（或培训证和聘书）、身份证及社保证明复印件（所有证件必须加盖单位公章）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6" w:type="dxa"/>
            <w:vAlign w:val="center"/>
          </w:tcPr>
          <w:p>
            <w:pPr>
              <w:jc w:val="center"/>
              <w:rPr>
                <w:rFonts w:ascii="宋体" w:cs="Times New Roman"/>
                <w:b/>
                <w:bCs/>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5</w:t>
            </w:r>
          </w:p>
        </w:tc>
        <w:tc>
          <w:tcPr>
            <w:tcW w:w="1999" w:type="dxa"/>
            <w:vAlign w:val="center"/>
          </w:tcPr>
          <w:p>
            <w:pPr>
              <w:jc w:val="cente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质检员</w:t>
            </w:r>
          </w:p>
        </w:tc>
        <w:tc>
          <w:tcPr>
            <w:tcW w:w="1233" w:type="dxa"/>
            <w:vAlign w:val="center"/>
          </w:tcPr>
          <w:p>
            <w:pPr>
              <w:jc w:val="center"/>
              <w:rPr>
                <w:rFonts w:ascii="宋体" w:cs="Times New Roman"/>
                <w:color w:val="000000" w:themeColor="text1"/>
                <w14:textFill>
                  <w14:solidFill>
                    <w14:schemeClr w14:val="tx1"/>
                  </w14:solidFill>
                </w14:textFill>
              </w:rPr>
            </w:pPr>
            <w:r>
              <w:rPr>
                <w:rFonts w:ascii="宋体" w:hAnsi="宋体" w:cs="宋体"/>
                <w:color w:val="000000" w:themeColor="text1"/>
                <w:u w:val="single"/>
                <w14:textFill>
                  <w14:solidFill>
                    <w14:schemeClr w14:val="tx1"/>
                  </w14:solidFill>
                </w14:textFill>
              </w:rPr>
              <w:t>1</w:t>
            </w:r>
            <w:r>
              <w:rPr>
                <w:rFonts w:hint="eastAsia" w:ascii="宋体" w:hAnsi="宋体" w:cs="宋体"/>
                <w:color w:val="000000" w:themeColor="text1"/>
                <w14:textFill>
                  <w14:solidFill>
                    <w14:schemeClr w14:val="tx1"/>
                  </w14:solidFill>
                </w14:textFill>
              </w:rPr>
              <w:t>人</w:t>
            </w:r>
          </w:p>
        </w:tc>
        <w:tc>
          <w:tcPr>
            <w:tcW w:w="2160" w:type="dxa"/>
            <w:vAlign w:val="center"/>
          </w:tcPr>
          <w:p>
            <w:pPr>
              <w:jc w:val="center"/>
              <w:rPr>
                <w:rFonts w:ascii="宋体" w:cs="Times New Roman"/>
                <w:color w:val="000000" w:themeColor="text1"/>
                <w14:textFill>
                  <w14:solidFill>
                    <w14:schemeClr w14:val="tx1"/>
                  </w14:solidFill>
                </w14:textFill>
              </w:rPr>
            </w:pPr>
          </w:p>
        </w:tc>
        <w:tc>
          <w:tcPr>
            <w:tcW w:w="3240" w:type="dxa"/>
            <w:vAlign w:val="center"/>
          </w:tcPr>
          <w:p>
            <w:pPr>
              <w:rPr>
                <w:rFonts w:ascii="宋体" w:cs="Times New Roman"/>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提供质检员证（或培训证和聘书）、身份证及社保证明复印件（所有证件必须加盖单位公章）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6" w:type="dxa"/>
            <w:vAlign w:val="center"/>
          </w:tcPr>
          <w:p>
            <w:pPr>
              <w:jc w:val="center"/>
              <w:rPr>
                <w:rFonts w:ascii="宋体" w:cs="Times New Roman"/>
                <w:b/>
                <w:bCs/>
                <w:color w:val="000000" w:themeColor="text1"/>
                <w14:textFill>
                  <w14:solidFill>
                    <w14:schemeClr w14:val="tx1"/>
                  </w14:solidFill>
                </w14:textFill>
              </w:rPr>
            </w:pPr>
            <w:r>
              <w:rPr>
                <w:rFonts w:ascii="宋体" w:hAnsi="宋体" w:cs="宋体"/>
                <w:b/>
                <w:bCs/>
                <w:color w:val="000000" w:themeColor="text1"/>
                <w:shd w:val="clear" w:color="auto" w:fill="FFFFFF"/>
                <w14:textFill>
                  <w14:solidFill>
                    <w14:schemeClr w14:val="tx1"/>
                  </w14:solidFill>
                </w14:textFill>
              </w:rPr>
              <w:t>6</w:t>
            </w:r>
          </w:p>
        </w:tc>
        <w:tc>
          <w:tcPr>
            <w:tcW w:w="1999" w:type="dxa"/>
            <w:vAlign w:val="center"/>
          </w:tcPr>
          <w:p>
            <w:pPr>
              <w:jc w:val="center"/>
              <w:rPr>
                <w:rFonts w:ascii="宋体" w:cs="Times New Roman"/>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资料员</w:t>
            </w:r>
          </w:p>
        </w:tc>
        <w:tc>
          <w:tcPr>
            <w:tcW w:w="1233" w:type="dxa"/>
            <w:vAlign w:val="center"/>
          </w:tcPr>
          <w:p>
            <w:pPr>
              <w:jc w:val="center"/>
              <w:rPr>
                <w:rFonts w:ascii="宋体" w:cs="Times New Roman"/>
                <w:color w:val="000000" w:themeColor="text1"/>
                <w:u w:val="single"/>
                <w14:textFill>
                  <w14:solidFill>
                    <w14:schemeClr w14:val="tx1"/>
                  </w14:solidFill>
                </w14:textFill>
              </w:rPr>
            </w:pPr>
            <w:r>
              <w:rPr>
                <w:rFonts w:ascii="宋体" w:hAnsi="宋体" w:cs="宋体"/>
                <w:color w:val="000000" w:themeColor="text1"/>
                <w:u w:val="single"/>
                <w:shd w:val="clear" w:color="auto" w:fill="FFFFFF"/>
                <w14:textFill>
                  <w14:solidFill>
                    <w14:schemeClr w14:val="tx1"/>
                  </w14:solidFill>
                </w14:textFill>
              </w:rPr>
              <w:t xml:space="preserve">1 </w:t>
            </w:r>
            <w:r>
              <w:rPr>
                <w:rFonts w:hint="eastAsia" w:ascii="宋体" w:hAnsi="宋体" w:cs="宋体"/>
                <w:color w:val="000000" w:themeColor="text1"/>
                <w:shd w:val="clear" w:color="auto" w:fill="FFFFFF"/>
                <w14:textFill>
                  <w14:solidFill>
                    <w14:schemeClr w14:val="tx1"/>
                  </w14:solidFill>
                </w14:textFill>
              </w:rPr>
              <w:t>人</w:t>
            </w:r>
          </w:p>
        </w:tc>
        <w:tc>
          <w:tcPr>
            <w:tcW w:w="2160" w:type="dxa"/>
            <w:vAlign w:val="center"/>
          </w:tcPr>
          <w:p>
            <w:pPr>
              <w:jc w:val="center"/>
              <w:rPr>
                <w:rFonts w:ascii="宋体" w:cs="Times New Roman"/>
                <w:color w:val="000000" w:themeColor="text1"/>
                <w14:textFill>
                  <w14:solidFill>
                    <w14:schemeClr w14:val="tx1"/>
                  </w14:solidFill>
                </w14:textFill>
              </w:rPr>
            </w:pPr>
          </w:p>
        </w:tc>
        <w:tc>
          <w:tcPr>
            <w:tcW w:w="3240" w:type="dxa"/>
            <w:vAlign w:val="center"/>
          </w:tcPr>
          <w:p>
            <w:pPr>
              <w:rPr>
                <w:rFonts w:ascii="宋体" w:cs="Times New Roman"/>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提供资料员证（</w:t>
            </w:r>
            <w:r>
              <w:rPr>
                <w:rFonts w:hint="eastAsia" w:ascii="宋体" w:hAnsi="宋体" w:cs="宋体"/>
                <w:color w:val="000000" w:themeColor="text1"/>
                <w14:textFill>
                  <w14:solidFill>
                    <w14:schemeClr w14:val="tx1"/>
                  </w14:solidFill>
                </w14:textFill>
              </w:rPr>
              <w:t>或</w:t>
            </w:r>
            <w:r>
              <w:rPr>
                <w:rFonts w:hint="eastAsia" w:ascii="宋体" w:hAnsi="宋体" w:cs="宋体"/>
                <w:color w:val="000000" w:themeColor="text1"/>
                <w:shd w:val="clear" w:color="auto" w:fill="FFFFFF"/>
                <w14:textFill>
                  <w14:solidFill>
                    <w14:schemeClr w14:val="tx1"/>
                  </w14:solidFill>
                </w14:textFill>
              </w:rPr>
              <w:t>培训证和聘书）、身份证及社保证明</w:t>
            </w:r>
            <w:r>
              <w:rPr>
                <w:rFonts w:hint="eastAsia" w:ascii="宋体" w:hAnsi="宋体" w:cs="宋体"/>
                <w:color w:val="000000" w:themeColor="text1"/>
                <w14:textFill>
                  <w14:solidFill>
                    <w14:schemeClr w14:val="tx1"/>
                  </w14:solidFill>
                </w14:textFill>
              </w:rPr>
              <w:t>复印件（所有证件必须加盖单位公章）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36" w:type="dxa"/>
            <w:vAlign w:val="center"/>
          </w:tcPr>
          <w:p>
            <w:pPr>
              <w:jc w:val="center"/>
              <w:rPr>
                <w:rFonts w:ascii="宋体" w:cs="Times New Roman"/>
                <w:b/>
                <w:bCs/>
                <w:color w:val="000000" w:themeColor="text1"/>
                <w14:textFill>
                  <w14:solidFill>
                    <w14:schemeClr w14:val="tx1"/>
                  </w14:solidFill>
                </w14:textFill>
              </w:rPr>
            </w:pPr>
            <w:r>
              <w:rPr>
                <w:rFonts w:ascii="宋体" w:hAnsi="宋体" w:cs="宋体"/>
                <w:b/>
                <w:bCs/>
                <w:color w:val="000000" w:themeColor="text1"/>
                <w:shd w:val="clear" w:color="auto" w:fill="FFFFFF"/>
                <w14:textFill>
                  <w14:solidFill>
                    <w14:schemeClr w14:val="tx1"/>
                  </w14:solidFill>
                </w14:textFill>
              </w:rPr>
              <w:t>7</w:t>
            </w:r>
          </w:p>
        </w:tc>
        <w:tc>
          <w:tcPr>
            <w:tcW w:w="1999" w:type="dxa"/>
            <w:vAlign w:val="center"/>
          </w:tcPr>
          <w:p>
            <w:pPr>
              <w:jc w:val="center"/>
              <w:rPr>
                <w:rFonts w:ascii="宋体" w:cs="Times New Roman"/>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机械员</w:t>
            </w:r>
          </w:p>
        </w:tc>
        <w:tc>
          <w:tcPr>
            <w:tcW w:w="1233" w:type="dxa"/>
            <w:vAlign w:val="center"/>
          </w:tcPr>
          <w:p>
            <w:pPr>
              <w:jc w:val="center"/>
              <w:rPr>
                <w:rFonts w:ascii="宋体" w:cs="Times New Roman"/>
                <w:color w:val="000000" w:themeColor="text1"/>
                <w:u w:val="single"/>
                <w14:textFill>
                  <w14:solidFill>
                    <w14:schemeClr w14:val="tx1"/>
                  </w14:solidFill>
                </w14:textFill>
              </w:rPr>
            </w:pPr>
            <w:r>
              <w:rPr>
                <w:rFonts w:ascii="宋体" w:hAnsi="宋体" w:cs="宋体"/>
                <w:color w:val="000000" w:themeColor="text1"/>
                <w:u w:val="single"/>
                <w:shd w:val="clear" w:color="auto" w:fill="FFFFFF"/>
                <w14:textFill>
                  <w14:solidFill>
                    <w14:schemeClr w14:val="tx1"/>
                  </w14:solidFill>
                </w14:textFill>
              </w:rPr>
              <w:t>1</w:t>
            </w:r>
            <w:r>
              <w:rPr>
                <w:rFonts w:hint="eastAsia" w:ascii="宋体" w:hAnsi="宋体" w:cs="宋体"/>
                <w:color w:val="000000" w:themeColor="text1"/>
                <w:shd w:val="clear" w:color="auto" w:fill="FFFFFF"/>
                <w14:textFill>
                  <w14:solidFill>
                    <w14:schemeClr w14:val="tx1"/>
                  </w14:solidFill>
                </w14:textFill>
              </w:rPr>
              <w:t>人</w:t>
            </w:r>
          </w:p>
        </w:tc>
        <w:tc>
          <w:tcPr>
            <w:tcW w:w="2160" w:type="dxa"/>
            <w:vAlign w:val="center"/>
          </w:tcPr>
          <w:p>
            <w:pPr>
              <w:jc w:val="center"/>
              <w:rPr>
                <w:rFonts w:ascii="宋体" w:cs="Times New Roman"/>
                <w:color w:val="000000" w:themeColor="text1"/>
                <w14:textFill>
                  <w14:solidFill>
                    <w14:schemeClr w14:val="tx1"/>
                  </w14:solidFill>
                </w14:textFill>
              </w:rPr>
            </w:pPr>
          </w:p>
        </w:tc>
        <w:tc>
          <w:tcPr>
            <w:tcW w:w="3240" w:type="dxa"/>
            <w:vAlign w:val="center"/>
          </w:tcPr>
          <w:p>
            <w:pPr>
              <w:rPr>
                <w:rFonts w:ascii="宋体" w:cs="Times New Roman"/>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提供机械员证（</w:t>
            </w:r>
            <w:r>
              <w:rPr>
                <w:rFonts w:hint="eastAsia" w:ascii="宋体" w:hAnsi="宋体" w:cs="宋体"/>
                <w:color w:val="000000" w:themeColor="text1"/>
                <w14:textFill>
                  <w14:solidFill>
                    <w14:schemeClr w14:val="tx1"/>
                  </w14:solidFill>
                </w14:textFill>
              </w:rPr>
              <w:t>或</w:t>
            </w:r>
            <w:r>
              <w:rPr>
                <w:rFonts w:hint="eastAsia" w:ascii="宋体" w:hAnsi="宋体" w:cs="宋体"/>
                <w:color w:val="000000" w:themeColor="text1"/>
                <w:shd w:val="clear" w:color="auto" w:fill="FFFFFF"/>
                <w14:textFill>
                  <w14:solidFill>
                    <w14:schemeClr w14:val="tx1"/>
                  </w14:solidFill>
                </w14:textFill>
              </w:rPr>
              <w:t>培训证和聘书）、身份证及社保证明</w:t>
            </w:r>
            <w:r>
              <w:rPr>
                <w:rFonts w:hint="eastAsia" w:ascii="宋体" w:hAnsi="宋体" w:cs="宋体"/>
                <w:color w:val="000000" w:themeColor="text1"/>
                <w14:textFill>
                  <w14:solidFill>
                    <w14:schemeClr w14:val="tx1"/>
                  </w14:solidFill>
                </w14:textFill>
              </w:rPr>
              <w:t>复印件（所有证件必须加盖单位公章）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36" w:type="dxa"/>
            <w:vAlign w:val="center"/>
          </w:tcPr>
          <w:p>
            <w:pPr>
              <w:jc w:val="center"/>
              <w:rPr>
                <w:rFonts w:ascii="宋体" w:cs="Times New Roman"/>
                <w:b/>
                <w:bCs/>
                <w:color w:val="000000" w:themeColor="text1"/>
                <w14:textFill>
                  <w14:solidFill>
                    <w14:schemeClr w14:val="tx1"/>
                  </w14:solidFill>
                </w14:textFill>
              </w:rPr>
            </w:pPr>
            <w:r>
              <w:rPr>
                <w:rFonts w:ascii="宋体" w:hAnsi="宋体" w:cs="宋体"/>
                <w:b/>
                <w:bCs/>
                <w:color w:val="000000" w:themeColor="text1"/>
                <w:shd w:val="clear" w:color="auto" w:fill="FFFFFF"/>
                <w14:textFill>
                  <w14:solidFill>
                    <w14:schemeClr w14:val="tx1"/>
                  </w14:solidFill>
                </w14:textFill>
              </w:rPr>
              <w:t>8</w:t>
            </w:r>
          </w:p>
        </w:tc>
        <w:tc>
          <w:tcPr>
            <w:tcW w:w="1999" w:type="dxa"/>
            <w:vAlign w:val="center"/>
          </w:tcPr>
          <w:p>
            <w:pPr>
              <w:jc w:val="center"/>
              <w:rPr>
                <w:rFonts w:ascii="宋体" w:cs="Times New Roman"/>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劳务员</w:t>
            </w:r>
          </w:p>
        </w:tc>
        <w:tc>
          <w:tcPr>
            <w:tcW w:w="1233" w:type="dxa"/>
            <w:vAlign w:val="center"/>
          </w:tcPr>
          <w:p>
            <w:pPr>
              <w:jc w:val="center"/>
              <w:rPr>
                <w:rFonts w:ascii="宋体" w:cs="Times New Roman"/>
                <w:color w:val="000000" w:themeColor="text1"/>
                <w:u w:val="single"/>
                <w14:textFill>
                  <w14:solidFill>
                    <w14:schemeClr w14:val="tx1"/>
                  </w14:solidFill>
                </w14:textFill>
              </w:rPr>
            </w:pPr>
            <w:r>
              <w:rPr>
                <w:rFonts w:ascii="宋体" w:hAnsi="宋体" w:cs="宋体"/>
                <w:color w:val="000000" w:themeColor="text1"/>
                <w:u w:val="single"/>
                <w:shd w:val="clear" w:color="auto" w:fill="FFFFFF"/>
                <w14:textFill>
                  <w14:solidFill>
                    <w14:schemeClr w14:val="tx1"/>
                  </w14:solidFill>
                </w14:textFill>
              </w:rPr>
              <w:t>1</w:t>
            </w:r>
            <w:r>
              <w:rPr>
                <w:rFonts w:hint="eastAsia" w:ascii="宋体" w:hAnsi="宋体" w:cs="宋体"/>
                <w:color w:val="000000" w:themeColor="text1"/>
                <w:shd w:val="clear" w:color="auto" w:fill="FFFFFF"/>
                <w14:textFill>
                  <w14:solidFill>
                    <w14:schemeClr w14:val="tx1"/>
                  </w14:solidFill>
                </w14:textFill>
              </w:rPr>
              <w:t>人</w:t>
            </w:r>
          </w:p>
        </w:tc>
        <w:tc>
          <w:tcPr>
            <w:tcW w:w="2160" w:type="dxa"/>
            <w:vAlign w:val="center"/>
          </w:tcPr>
          <w:p>
            <w:pPr>
              <w:jc w:val="center"/>
              <w:rPr>
                <w:rFonts w:ascii="宋体" w:cs="Times New Roman"/>
                <w:color w:val="000000" w:themeColor="text1"/>
                <w14:textFill>
                  <w14:solidFill>
                    <w14:schemeClr w14:val="tx1"/>
                  </w14:solidFill>
                </w14:textFill>
              </w:rPr>
            </w:pPr>
          </w:p>
        </w:tc>
        <w:tc>
          <w:tcPr>
            <w:tcW w:w="3240" w:type="dxa"/>
            <w:vAlign w:val="center"/>
          </w:tcPr>
          <w:p>
            <w:pPr>
              <w:rPr>
                <w:rFonts w:ascii="宋体" w:cs="Times New Roman"/>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提供劳务员证（</w:t>
            </w:r>
            <w:r>
              <w:rPr>
                <w:rFonts w:hint="eastAsia" w:ascii="宋体" w:hAnsi="宋体" w:cs="宋体"/>
                <w:color w:val="000000" w:themeColor="text1"/>
                <w14:textFill>
                  <w14:solidFill>
                    <w14:schemeClr w14:val="tx1"/>
                  </w14:solidFill>
                </w14:textFill>
              </w:rPr>
              <w:t>或</w:t>
            </w:r>
            <w:r>
              <w:rPr>
                <w:rFonts w:hint="eastAsia" w:ascii="宋体" w:hAnsi="宋体" w:cs="宋体"/>
                <w:color w:val="000000" w:themeColor="text1"/>
                <w:shd w:val="clear" w:color="auto" w:fill="FFFFFF"/>
                <w14:textFill>
                  <w14:solidFill>
                    <w14:schemeClr w14:val="tx1"/>
                  </w14:solidFill>
                </w14:textFill>
              </w:rPr>
              <w:t>培训证和聘书）、身份证及社保证明</w:t>
            </w:r>
            <w:r>
              <w:rPr>
                <w:rFonts w:hint="eastAsia" w:ascii="宋体" w:hAnsi="宋体" w:cs="宋体"/>
                <w:color w:val="000000" w:themeColor="text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36" w:type="dxa"/>
            <w:vAlign w:val="center"/>
          </w:tcPr>
          <w:p>
            <w:pPr>
              <w:jc w:val="center"/>
              <w:rPr>
                <w:rFonts w:ascii="宋体" w:cs="Times New Roman"/>
                <w:b/>
                <w:bCs/>
                <w:color w:val="000000" w:themeColor="text1"/>
                <w:shd w:val="clear" w:color="auto" w:fill="FFFFFF"/>
                <w14:textFill>
                  <w14:solidFill>
                    <w14:schemeClr w14:val="tx1"/>
                  </w14:solidFill>
                </w14:textFill>
              </w:rPr>
            </w:pPr>
            <w:r>
              <w:rPr>
                <w:rFonts w:ascii="宋体" w:hAnsi="宋体" w:cs="宋体"/>
                <w:b/>
                <w:bCs/>
                <w:color w:val="000000" w:themeColor="text1"/>
                <w:shd w:val="clear" w:color="auto" w:fill="FFFFFF"/>
                <w14:textFill>
                  <w14:solidFill>
                    <w14:schemeClr w14:val="tx1"/>
                  </w14:solidFill>
                </w14:textFill>
              </w:rPr>
              <w:t>9</w:t>
            </w:r>
          </w:p>
        </w:tc>
        <w:tc>
          <w:tcPr>
            <w:tcW w:w="1999" w:type="dxa"/>
            <w:vAlign w:val="center"/>
          </w:tcPr>
          <w:p>
            <w:pPr>
              <w:jc w:val="center"/>
              <w:rPr>
                <w:rFonts w:ascii="宋体" w:cs="Times New Roman"/>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标准员</w:t>
            </w:r>
          </w:p>
        </w:tc>
        <w:tc>
          <w:tcPr>
            <w:tcW w:w="1233" w:type="dxa"/>
            <w:vAlign w:val="center"/>
          </w:tcPr>
          <w:p>
            <w:pPr>
              <w:rPr>
                <w:rFonts w:ascii="宋体" w:cs="Times New Roman"/>
                <w:color w:val="000000" w:themeColor="text1"/>
                <w:u w:val="single"/>
                <w:shd w:val="clear" w:color="auto" w:fill="FFFFFF"/>
                <w14:textFill>
                  <w14:solidFill>
                    <w14:schemeClr w14:val="tx1"/>
                  </w14:solidFill>
                </w14:textFill>
              </w:rPr>
            </w:pPr>
            <w:r>
              <w:rPr>
                <w:rFonts w:ascii="宋体" w:hAnsi="宋体" w:cs="宋体"/>
                <w:color w:val="000000" w:themeColor="text1"/>
                <w:u w:val="single"/>
                <w:shd w:val="clear" w:color="auto" w:fill="FFFFFF"/>
                <w14:textFill>
                  <w14:solidFill>
                    <w14:schemeClr w14:val="tx1"/>
                  </w14:solidFill>
                </w14:textFill>
              </w:rPr>
              <w:t xml:space="preserve">   1   </w:t>
            </w:r>
            <w:r>
              <w:rPr>
                <w:rFonts w:hint="eastAsia" w:ascii="宋体" w:hAnsi="宋体" w:cs="宋体"/>
                <w:color w:val="000000" w:themeColor="text1"/>
                <w:shd w:val="clear" w:color="auto" w:fill="FFFFFF"/>
                <w14:textFill>
                  <w14:solidFill>
                    <w14:schemeClr w14:val="tx1"/>
                  </w14:solidFill>
                </w14:textFill>
              </w:rPr>
              <w:t>人</w:t>
            </w:r>
          </w:p>
        </w:tc>
        <w:tc>
          <w:tcPr>
            <w:tcW w:w="2160" w:type="dxa"/>
            <w:vAlign w:val="center"/>
          </w:tcPr>
          <w:p>
            <w:pPr>
              <w:jc w:val="center"/>
              <w:rPr>
                <w:rFonts w:ascii="宋体" w:cs="Times New Roman"/>
                <w:color w:val="000000" w:themeColor="text1"/>
                <w14:textFill>
                  <w14:solidFill>
                    <w14:schemeClr w14:val="tx1"/>
                  </w14:solidFill>
                </w14:textFill>
              </w:rPr>
            </w:pPr>
          </w:p>
        </w:tc>
        <w:tc>
          <w:tcPr>
            <w:tcW w:w="3240" w:type="dxa"/>
            <w:vAlign w:val="center"/>
          </w:tcPr>
          <w:p>
            <w:pPr>
              <w:rPr>
                <w:rFonts w:ascii="宋体" w:cs="Times New Roman"/>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提供标准员《住房和城乡建设领域专业人员岗位培训考核合格证书》、身份证及社保证明原件扫描件或复印件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36" w:type="dxa"/>
            <w:vAlign w:val="center"/>
          </w:tcPr>
          <w:p>
            <w:pPr>
              <w:jc w:val="center"/>
              <w:rPr>
                <w:rFonts w:ascii="宋体" w:cs="Times New Roman"/>
                <w:b/>
                <w:bCs/>
                <w:color w:val="000000" w:themeColor="text1"/>
                <w:shd w:val="clear" w:color="auto" w:fill="FFFFFF"/>
                <w14:textFill>
                  <w14:solidFill>
                    <w14:schemeClr w14:val="tx1"/>
                  </w14:solidFill>
                </w14:textFill>
              </w:rPr>
            </w:pPr>
            <w:r>
              <w:rPr>
                <w:rFonts w:ascii="宋体" w:hAnsi="宋体" w:cs="宋体"/>
                <w:b/>
                <w:bCs/>
                <w:color w:val="000000" w:themeColor="text1"/>
                <w:shd w:val="clear" w:color="auto" w:fill="FFFFFF"/>
                <w14:textFill>
                  <w14:solidFill>
                    <w14:schemeClr w14:val="tx1"/>
                  </w14:solidFill>
                </w14:textFill>
              </w:rPr>
              <w:t>10</w:t>
            </w:r>
          </w:p>
        </w:tc>
        <w:tc>
          <w:tcPr>
            <w:tcW w:w="1999" w:type="dxa"/>
            <w:vAlign w:val="center"/>
          </w:tcPr>
          <w:p>
            <w:pPr>
              <w:jc w:val="center"/>
              <w:rPr>
                <w:rFonts w:ascii="宋体" w:cs="Times New Roman"/>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材料员</w:t>
            </w:r>
          </w:p>
        </w:tc>
        <w:tc>
          <w:tcPr>
            <w:tcW w:w="1233" w:type="dxa"/>
            <w:vAlign w:val="center"/>
          </w:tcPr>
          <w:p>
            <w:pPr>
              <w:rPr>
                <w:rFonts w:ascii="宋体" w:cs="Times New Roman"/>
                <w:color w:val="000000" w:themeColor="text1"/>
                <w:u w:val="single"/>
                <w:shd w:val="clear" w:color="auto" w:fill="FFFFFF"/>
                <w14:textFill>
                  <w14:solidFill>
                    <w14:schemeClr w14:val="tx1"/>
                  </w14:solidFill>
                </w14:textFill>
              </w:rPr>
            </w:pPr>
            <w:r>
              <w:rPr>
                <w:rFonts w:ascii="宋体" w:hAnsi="宋体" w:cs="宋体"/>
                <w:color w:val="000000" w:themeColor="text1"/>
                <w:u w:val="single"/>
                <w:shd w:val="clear" w:color="auto" w:fill="FFFFFF"/>
                <w14:textFill>
                  <w14:solidFill>
                    <w14:schemeClr w14:val="tx1"/>
                  </w14:solidFill>
                </w14:textFill>
              </w:rPr>
              <w:t xml:space="preserve">   1   </w:t>
            </w:r>
            <w:r>
              <w:rPr>
                <w:rFonts w:hint="eastAsia" w:ascii="宋体" w:hAnsi="宋体" w:cs="宋体"/>
                <w:color w:val="000000" w:themeColor="text1"/>
                <w:shd w:val="clear" w:color="auto" w:fill="FFFFFF"/>
                <w14:textFill>
                  <w14:solidFill>
                    <w14:schemeClr w14:val="tx1"/>
                  </w14:solidFill>
                </w14:textFill>
              </w:rPr>
              <w:t>人</w:t>
            </w:r>
          </w:p>
        </w:tc>
        <w:tc>
          <w:tcPr>
            <w:tcW w:w="2160" w:type="dxa"/>
            <w:vAlign w:val="center"/>
          </w:tcPr>
          <w:p>
            <w:pPr>
              <w:jc w:val="center"/>
              <w:rPr>
                <w:rFonts w:ascii="宋体" w:cs="Times New Roman"/>
                <w:color w:val="000000" w:themeColor="text1"/>
                <w14:textFill>
                  <w14:solidFill>
                    <w14:schemeClr w14:val="tx1"/>
                  </w14:solidFill>
                </w14:textFill>
              </w:rPr>
            </w:pPr>
          </w:p>
        </w:tc>
        <w:tc>
          <w:tcPr>
            <w:tcW w:w="3240" w:type="dxa"/>
            <w:vAlign w:val="center"/>
          </w:tcPr>
          <w:p>
            <w:pPr>
              <w:rPr>
                <w:rFonts w:ascii="宋体" w:cs="Times New Roman"/>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提供材料员《住房和城乡建设领域专业人员岗位培训考核合格证书》、身份证及社保证明原件扫描件或复印件</w:t>
            </w:r>
          </w:p>
        </w:tc>
      </w:tr>
    </w:tbl>
    <w:p>
      <w:pPr>
        <w:spacing w:line="400" w:lineRule="exact"/>
        <w:ind w:firstLine="432"/>
        <w:jc w:val="center"/>
        <w:rPr>
          <w:rFonts w:ascii="宋体" w:hAnsi="宋体"/>
          <w:bCs/>
          <w:sz w:val="28"/>
          <w:szCs w:val="28"/>
        </w:rPr>
      </w:pPr>
    </w:p>
    <w:p>
      <w:pPr>
        <w:rPr>
          <w:rFonts w:ascii="宋体" w:hAnsi="宋体"/>
          <w:bCs/>
          <w:szCs w:val="21"/>
        </w:rPr>
      </w:pPr>
      <w:r>
        <w:rPr>
          <w:rFonts w:hint="eastAsia" w:ascii="宋体" w:hAnsi="宋体"/>
          <w:bCs/>
          <w:szCs w:val="21"/>
        </w:rPr>
        <w:t>注：1、项目管理机构主要人员必须是竞投单位的员工。</w:t>
      </w:r>
    </w:p>
    <w:p>
      <w:pPr>
        <w:ind w:firstLine="420" w:firstLineChars="200"/>
        <w:rPr>
          <w:rFonts w:ascii="宋体" w:hAnsi="宋体"/>
          <w:bCs/>
          <w:szCs w:val="21"/>
        </w:rPr>
      </w:pPr>
      <w:r>
        <w:rPr>
          <w:rFonts w:hint="eastAsia" w:ascii="宋体" w:hAnsi="宋体"/>
          <w:bCs/>
          <w:szCs w:val="21"/>
        </w:rPr>
        <w:t>2、拟投入本工程人员必须满足以上要求，其中一项不满足的，</w:t>
      </w:r>
      <w:r>
        <w:rPr>
          <w:rFonts w:hint="eastAsia" w:ascii="宋体" w:hAnsi="宋体"/>
          <w:b/>
          <w:bCs/>
          <w:szCs w:val="21"/>
        </w:rPr>
        <w:t>则</w:t>
      </w:r>
      <w:r>
        <w:rPr>
          <w:rFonts w:hint="eastAsia" w:ascii="宋体" w:hAnsi="宋体"/>
          <w:b/>
          <w:szCs w:val="21"/>
        </w:rPr>
        <w:t>评审不合格</w:t>
      </w:r>
      <w:r>
        <w:rPr>
          <w:rFonts w:hint="eastAsia" w:ascii="宋体" w:hAnsi="宋体"/>
          <w:bCs/>
          <w:szCs w:val="21"/>
        </w:rPr>
        <w:t>。</w:t>
      </w:r>
    </w:p>
    <w:p>
      <w:pPr>
        <w:ind w:firstLine="420" w:firstLineChars="200"/>
        <w:rPr>
          <w:rFonts w:ascii="宋体" w:hAnsi="宋体"/>
          <w:bCs/>
          <w:color w:val="FF0000"/>
          <w:szCs w:val="21"/>
        </w:rPr>
      </w:pPr>
      <w:r>
        <w:rPr>
          <w:rFonts w:hint="eastAsia" w:ascii="宋体" w:hAnsi="宋体"/>
          <w:bCs/>
          <w:szCs w:val="21"/>
        </w:rPr>
        <w:t xml:space="preserve">3、社保证明时间要求： </w:t>
      </w:r>
      <w:bookmarkStart w:id="61" w:name="_Toc313616040"/>
      <w:bookmarkStart w:id="62" w:name="_Toc315953860"/>
      <w:bookmarkStart w:id="63" w:name="_Toc392769466"/>
      <w:bookmarkStart w:id="64" w:name="_Toc313909841"/>
      <w:bookmarkStart w:id="65" w:name="_Toc313615937"/>
      <w:r>
        <w:rPr>
          <w:rFonts w:hint="eastAsia" w:ascii="宋体" w:hAnsi="宋体" w:cs="宋体"/>
          <w:color w:val="FF0000"/>
          <w:szCs w:val="21"/>
        </w:rPr>
        <w:t>（近3个月：</w:t>
      </w:r>
      <w:r>
        <w:rPr>
          <w:rFonts w:hint="eastAsia" w:ascii="宋体" w:hAnsi="宋体" w:cs="宋体"/>
          <w:color w:val="FF0000"/>
          <w:szCs w:val="21"/>
          <w:u w:val="single"/>
          <w:lang w:eastAsia="zh-CN"/>
        </w:rPr>
        <w:t>2023年</w:t>
      </w:r>
      <w:r>
        <w:rPr>
          <w:rFonts w:hint="eastAsia" w:ascii="宋体" w:hAnsi="宋体" w:cs="宋体"/>
          <w:color w:val="FF0000"/>
          <w:szCs w:val="21"/>
          <w:u w:val="single"/>
          <w:lang w:val="en-US" w:eastAsia="zh-CN"/>
        </w:rPr>
        <w:t>2</w:t>
      </w:r>
      <w:r>
        <w:rPr>
          <w:rFonts w:hint="eastAsia" w:ascii="宋体" w:hAnsi="宋体" w:cs="宋体"/>
          <w:color w:val="FF0000"/>
          <w:szCs w:val="21"/>
          <w:u w:val="single"/>
          <w:lang w:eastAsia="zh-CN"/>
        </w:rPr>
        <w:t>月-</w:t>
      </w:r>
      <w:r>
        <w:rPr>
          <w:rFonts w:hint="eastAsia" w:ascii="宋体" w:hAnsi="宋体" w:cs="宋体"/>
          <w:color w:val="FF0000"/>
          <w:szCs w:val="21"/>
          <w:u w:val="single"/>
          <w:lang w:val="en-US" w:eastAsia="zh-CN"/>
        </w:rPr>
        <w:t>4</w:t>
      </w:r>
      <w:r>
        <w:rPr>
          <w:rFonts w:hint="eastAsia" w:ascii="宋体" w:hAnsi="宋体" w:cs="宋体"/>
          <w:color w:val="FF0000"/>
          <w:szCs w:val="21"/>
          <w:u w:val="single"/>
          <w:lang w:eastAsia="zh-CN"/>
        </w:rPr>
        <w:t>月</w:t>
      </w:r>
      <w:r>
        <w:rPr>
          <w:rFonts w:hint="eastAsia" w:ascii="宋体" w:hAnsi="宋体" w:cs="宋体"/>
          <w:color w:val="FF0000"/>
          <w:szCs w:val="21"/>
        </w:rPr>
        <w:t>）</w:t>
      </w:r>
    </w:p>
    <w:bookmarkEnd w:id="61"/>
    <w:bookmarkEnd w:id="62"/>
    <w:bookmarkEnd w:id="63"/>
    <w:bookmarkEnd w:id="64"/>
    <w:bookmarkEnd w:id="65"/>
    <w:p>
      <w:pPr>
        <w:ind w:firstLine="420" w:firstLineChars="200"/>
        <w:rPr>
          <w:rFonts w:ascii="宋体" w:hAnsi="宋体"/>
          <w:bCs/>
          <w:szCs w:val="21"/>
        </w:rPr>
      </w:pPr>
      <w:r>
        <w:rPr>
          <w:rFonts w:hint="eastAsia" w:ascii="宋体" w:hAnsi="宋体"/>
          <w:bCs/>
          <w:szCs w:val="21"/>
        </w:rPr>
        <w:t>4、《项目管理机构主要人员配置表》的人员数量要求须满足《中山市住房和城乡建设局关于修订建设工程项目施工现场管理人员组成的通知》，否则作废标处理。</w:t>
      </w:r>
    </w:p>
    <w:p>
      <w:pPr>
        <w:rPr>
          <w:rFonts w:ascii="宋体" w:hAnsi="宋体"/>
          <w:bCs/>
          <w:szCs w:val="21"/>
        </w:rPr>
      </w:pPr>
    </w:p>
    <w:p>
      <w:pPr>
        <w:ind w:firstLine="420" w:firstLineChars="200"/>
        <w:rPr>
          <w:rFonts w:ascii="宋体" w:hAnsi="宋体"/>
          <w:bCs/>
          <w:szCs w:val="21"/>
        </w:rPr>
      </w:pPr>
      <w:r>
        <w:rPr>
          <w:rFonts w:hint="eastAsia" w:ascii="宋体" w:hAnsi="宋体"/>
          <w:bCs/>
          <w:szCs w:val="21"/>
        </w:rPr>
        <w:t>附表如下：</w:t>
      </w:r>
    </w:p>
    <w:tbl>
      <w:tblPr>
        <w:tblStyle w:val="11"/>
        <w:tblpPr w:leftFromText="180" w:rightFromText="180" w:vertAnchor="text" w:horzAnchor="margin" w:tblpXSpec="center" w:tblpY="147"/>
        <w:tblOverlap w:val="never"/>
        <w:tblW w:w="10234"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149"/>
        <w:gridCol w:w="970"/>
        <w:gridCol w:w="1679"/>
        <w:gridCol w:w="609"/>
        <w:gridCol w:w="801"/>
        <w:gridCol w:w="937"/>
        <w:gridCol w:w="765"/>
        <w:gridCol w:w="802"/>
        <w:gridCol w:w="803"/>
        <w:gridCol w:w="835"/>
        <w:gridCol w:w="88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3798" w:type="dxa"/>
            <w:gridSpan w:val="3"/>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工程范围</w:t>
            </w:r>
          </w:p>
        </w:tc>
        <w:tc>
          <w:tcPr>
            <w:tcW w:w="609" w:type="dxa"/>
            <w:tcBorders>
              <w:top w:val="single" w:color="auto" w:sz="8" w:space="0"/>
              <w:left w:val="single" w:color="auto" w:sz="4" w:space="0"/>
              <w:bottom w:val="single" w:color="auto" w:sz="8"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建造师</w:t>
            </w:r>
          </w:p>
        </w:tc>
        <w:tc>
          <w:tcPr>
            <w:tcW w:w="801" w:type="dxa"/>
            <w:tcBorders>
              <w:top w:val="single" w:color="auto" w:sz="8" w:space="0"/>
              <w:left w:val="single" w:color="auto" w:sz="4" w:space="0"/>
              <w:bottom w:val="single" w:color="auto" w:sz="8"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安全员</w:t>
            </w:r>
          </w:p>
        </w:tc>
        <w:tc>
          <w:tcPr>
            <w:tcW w:w="937" w:type="dxa"/>
            <w:tcBorders>
              <w:top w:val="single" w:color="auto" w:sz="8" w:space="0"/>
              <w:left w:val="single" w:color="auto" w:sz="4" w:space="0"/>
              <w:bottom w:val="single" w:color="auto" w:sz="8"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765" w:type="dxa"/>
            <w:tcBorders>
              <w:top w:val="single" w:color="auto" w:sz="8" w:space="0"/>
              <w:left w:val="single" w:color="auto" w:sz="4" w:space="0"/>
              <w:bottom w:val="single" w:color="auto" w:sz="8"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施工员</w:t>
            </w:r>
          </w:p>
        </w:tc>
        <w:tc>
          <w:tcPr>
            <w:tcW w:w="802" w:type="dxa"/>
            <w:tcBorders>
              <w:top w:val="single" w:color="auto" w:sz="8" w:space="0"/>
              <w:left w:val="single" w:color="auto" w:sz="4" w:space="0"/>
              <w:bottom w:val="single" w:color="auto" w:sz="8"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质量员</w:t>
            </w:r>
          </w:p>
        </w:tc>
        <w:tc>
          <w:tcPr>
            <w:tcW w:w="803" w:type="dxa"/>
            <w:tcBorders>
              <w:top w:val="single" w:color="auto" w:sz="8" w:space="0"/>
              <w:left w:val="single" w:color="auto" w:sz="4" w:space="0"/>
              <w:bottom w:val="single" w:color="auto" w:sz="8" w:space="0"/>
              <w:righ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资料员</w:t>
            </w:r>
          </w:p>
        </w:tc>
        <w:tc>
          <w:tcPr>
            <w:tcW w:w="835" w:type="dxa"/>
            <w:tcBorders>
              <w:top w:val="single" w:color="auto" w:sz="8" w:space="0"/>
              <w:left w:val="single" w:color="auto" w:sz="4" w:space="0"/>
              <w:bottom w:val="single" w:color="auto" w:sz="8" w:space="0"/>
              <w:righ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机械员</w:t>
            </w:r>
          </w:p>
        </w:tc>
        <w:tc>
          <w:tcPr>
            <w:tcW w:w="884" w:type="dxa"/>
            <w:tcBorders>
              <w:top w:val="single" w:color="auto" w:sz="8" w:space="0"/>
              <w:left w:val="single" w:color="auto" w:sz="4" w:space="0"/>
              <w:bottom w:val="single" w:color="auto" w:sz="8" w:space="0"/>
              <w:righ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劳务员</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11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房屋建筑工程（按建筑面积）</w:t>
            </w:r>
          </w:p>
        </w:tc>
        <w:tc>
          <w:tcPr>
            <w:tcW w:w="2649"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1万平米以下</w:t>
            </w:r>
          </w:p>
        </w:tc>
        <w:tc>
          <w:tcPr>
            <w:tcW w:w="609"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937"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2" w:type="dxa"/>
            <w:vMerge w:val="restart"/>
            <w:tcBorders>
              <w:top w:val="nil"/>
              <w:left w:val="single" w:color="auto" w:sz="4" w:space="0"/>
              <w:bottom w:val="single" w:color="000000" w:sz="6"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每个项目1名</w:t>
            </w:r>
          </w:p>
        </w:tc>
        <w:tc>
          <w:tcPr>
            <w:tcW w:w="803" w:type="dxa"/>
            <w:vMerge w:val="restart"/>
            <w:tcBorders>
              <w:top w:val="nil"/>
              <w:left w:val="single" w:color="auto" w:sz="4" w:space="0"/>
              <w:bottom w:val="single" w:color="000000" w:sz="6"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每个项目1名</w:t>
            </w:r>
          </w:p>
        </w:tc>
        <w:tc>
          <w:tcPr>
            <w:tcW w:w="835" w:type="dxa"/>
            <w:vMerge w:val="restart"/>
            <w:tcBorders>
              <w:top w:val="nil"/>
              <w:left w:val="single" w:color="auto" w:sz="4" w:space="0"/>
              <w:bottom w:val="single" w:color="000000" w:sz="6"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每个项目1名</w:t>
            </w:r>
          </w:p>
        </w:tc>
        <w:tc>
          <w:tcPr>
            <w:tcW w:w="884" w:type="dxa"/>
            <w:vMerge w:val="restart"/>
            <w:tcBorders>
              <w:top w:val="nil"/>
              <w:left w:val="single" w:color="auto" w:sz="4" w:space="0"/>
              <w:bottom w:val="single" w:color="000000" w:sz="6" w:space="0"/>
              <w:right w:val="single" w:color="auto" w:sz="8" w:space="0"/>
            </w:tcBorders>
            <w:vAlign w:val="center"/>
          </w:tcPr>
          <w:p>
            <w:pPr>
              <w:widowControl/>
              <w:ind w:right="76" w:rightChars="36"/>
              <w:jc w:val="center"/>
              <w:rPr>
                <w:rFonts w:ascii="新宋体" w:hAnsi="新宋体" w:eastAsia="新宋体" w:cs="新宋体"/>
                <w:kern w:val="0"/>
                <w:sz w:val="24"/>
              </w:rPr>
            </w:pPr>
            <w:r>
              <w:rPr>
                <w:rFonts w:hint="eastAsia" w:ascii="新宋体" w:hAnsi="新宋体" w:eastAsia="新宋体" w:cs="新宋体"/>
                <w:kern w:val="0"/>
                <w:sz w:val="24"/>
              </w:rPr>
              <w:t>每个项目1名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1149" w:type="dxa"/>
            <w:vMerge w:val="continue"/>
            <w:tcBorders>
              <w:top w:val="nil"/>
              <w:left w:val="single" w:color="auto" w:sz="8" w:space="0"/>
              <w:bottom w:val="single" w:color="auto" w:sz="8" w:space="0"/>
              <w:right w:val="single" w:color="auto" w:sz="8" w:space="0"/>
            </w:tcBorders>
            <w:vAlign w:val="center"/>
          </w:tcPr>
          <w:p>
            <w:pPr>
              <w:widowControl/>
              <w:jc w:val="left"/>
              <w:rPr>
                <w:rFonts w:ascii="新宋体" w:hAnsi="新宋体" w:eastAsia="新宋体" w:cs="新宋体"/>
                <w:kern w:val="0"/>
                <w:sz w:val="24"/>
              </w:rPr>
            </w:pPr>
          </w:p>
        </w:tc>
        <w:tc>
          <w:tcPr>
            <w:tcW w:w="2649"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1万-5万平米</w:t>
            </w:r>
          </w:p>
        </w:tc>
        <w:tc>
          <w:tcPr>
            <w:tcW w:w="609"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2</w:t>
            </w:r>
          </w:p>
        </w:tc>
        <w:tc>
          <w:tcPr>
            <w:tcW w:w="937"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2</w:t>
            </w:r>
          </w:p>
        </w:tc>
        <w:tc>
          <w:tcPr>
            <w:tcW w:w="802"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03"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35"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84" w:type="dxa"/>
            <w:vMerge w:val="continue"/>
            <w:tcBorders>
              <w:top w:val="nil"/>
              <w:left w:val="single" w:color="auto" w:sz="4" w:space="0"/>
              <w:bottom w:val="single" w:color="000000" w:sz="6" w:space="0"/>
              <w:right w:val="single" w:color="auto" w:sz="8" w:space="0"/>
            </w:tcBorders>
            <w:vAlign w:val="center"/>
          </w:tcPr>
          <w:p>
            <w:pPr>
              <w:widowControl/>
              <w:jc w:val="left"/>
              <w:rPr>
                <w:rFonts w:ascii="新宋体" w:hAnsi="新宋体" w:eastAsia="新宋体" w:cs="新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1149" w:type="dxa"/>
            <w:vMerge w:val="continue"/>
            <w:tcBorders>
              <w:top w:val="nil"/>
              <w:left w:val="single" w:color="auto" w:sz="8" w:space="0"/>
              <w:bottom w:val="single" w:color="auto" w:sz="8" w:space="0"/>
              <w:right w:val="single" w:color="auto" w:sz="8" w:space="0"/>
            </w:tcBorders>
            <w:vAlign w:val="center"/>
          </w:tcPr>
          <w:p>
            <w:pPr>
              <w:widowControl/>
              <w:jc w:val="left"/>
              <w:rPr>
                <w:rFonts w:ascii="新宋体" w:hAnsi="新宋体" w:eastAsia="新宋体" w:cs="新宋体"/>
                <w:kern w:val="0"/>
                <w:sz w:val="24"/>
              </w:rPr>
            </w:pPr>
          </w:p>
        </w:tc>
        <w:tc>
          <w:tcPr>
            <w:tcW w:w="2649"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5万-10万平米</w:t>
            </w:r>
          </w:p>
        </w:tc>
        <w:tc>
          <w:tcPr>
            <w:tcW w:w="609"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w:t>
            </w:r>
          </w:p>
        </w:tc>
        <w:tc>
          <w:tcPr>
            <w:tcW w:w="937"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w:t>
            </w:r>
          </w:p>
        </w:tc>
        <w:tc>
          <w:tcPr>
            <w:tcW w:w="802"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03"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35"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84" w:type="dxa"/>
            <w:vMerge w:val="continue"/>
            <w:tcBorders>
              <w:top w:val="nil"/>
              <w:left w:val="single" w:color="auto" w:sz="4" w:space="0"/>
              <w:bottom w:val="single" w:color="000000" w:sz="6" w:space="0"/>
              <w:right w:val="single" w:color="auto" w:sz="8" w:space="0"/>
            </w:tcBorders>
            <w:vAlign w:val="center"/>
          </w:tcPr>
          <w:p>
            <w:pPr>
              <w:widowControl/>
              <w:jc w:val="left"/>
              <w:rPr>
                <w:rFonts w:ascii="新宋体" w:hAnsi="新宋体" w:eastAsia="新宋体" w:cs="新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1149" w:type="dxa"/>
            <w:vMerge w:val="continue"/>
            <w:tcBorders>
              <w:top w:val="nil"/>
              <w:left w:val="single" w:color="auto" w:sz="8" w:space="0"/>
              <w:bottom w:val="single" w:color="auto" w:sz="4" w:space="0"/>
              <w:right w:val="single" w:color="auto" w:sz="8" w:space="0"/>
            </w:tcBorders>
            <w:vAlign w:val="center"/>
          </w:tcPr>
          <w:p>
            <w:pPr>
              <w:widowControl/>
              <w:jc w:val="left"/>
              <w:rPr>
                <w:rFonts w:ascii="新宋体" w:hAnsi="新宋体" w:eastAsia="新宋体" w:cs="新宋体"/>
                <w:kern w:val="0"/>
                <w:sz w:val="24"/>
              </w:rPr>
            </w:pPr>
          </w:p>
        </w:tc>
        <w:tc>
          <w:tcPr>
            <w:tcW w:w="2649" w:type="dxa"/>
            <w:gridSpan w:val="2"/>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10万平米以上</w:t>
            </w:r>
          </w:p>
        </w:tc>
        <w:tc>
          <w:tcPr>
            <w:tcW w:w="609"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nil"/>
              <w:left w:val="single" w:color="auto" w:sz="4" w:space="0"/>
              <w:bottom w:val="single" w:color="auto" w:sz="4" w:space="0"/>
              <w:right w:val="single" w:color="auto" w:sz="4" w:space="0"/>
            </w:tcBorders>
          </w:tcPr>
          <w:p>
            <w:pPr>
              <w:widowControl/>
              <w:jc w:val="center"/>
              <w:rPr>
                <w:rFonts w:ascii="新宋体" w:hAnsi="新宋体" w:eastAsia="新宋体" w:cs="新宋体"/>
                <w:kern w:val="0"/>
                <w:sz w:val="24"/>
              </w:rPr>
            </w:pPr>
            <w:r>
              <w:rPr>
                <w:rFonts w:hint="eastAsia" w:ascii="新宋体" w:hAnsi="新宋体" w:eastAsia="新宋体" w:cs="新宋体"/>
                <w:kern w:val="0"/>
                <w:sz w:val="24"/>
              </w:rPr>
              <w:t>4</w:t>
            </w:r>
          </w:p>
        </w:tc>
        <w:tc>
          <w:tcPr>
            <w:tcW w:w="937"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4</w:t>
            </w:r>
          </w:p>
        </w:tc>
        <w:tc>
          <w:tcPr>
            <w:tcW w:w="802"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884" w:type="dxa"/>
            <w:vMerge w:val="continue"/>
            <w:tcBorders>
              <w:top w:val="nil"/>
              <w:left w:val="single" w:color="auto" w:sz="4" w:space="0"/>
              <w:bottom w:val="single" w:color="auto" w:sz="4" w:space="0"/>
              <w:right w:val="single" w:color="auto" w:sz="8" w:space="0"/>
            </w:tcBorders>
            <w:vAlign w:val="center"/>
          </w:tcPr>
          <w:p>
            <w:pPr>
              <w:widowControl/>
              <w:jc w:val="left"/>
              <w:rPr>
                <w:rFonts w:ascii="新宋体" w:hAnsi="新宋体" w:eastAsia="新宋体" w:cs="新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1149" w:type="dxa"/>
            <w:vMerge w:val="restar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市政、设备安装工程（按总造价）</w:t>
            </w:r>
          </w:p>
        </w:tc>
        <w:tc>
          <w:tcPr>
            <w:tcW w:w="2649" w:type="dxa"/>
            <w:gridSpan w:val="2"/>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5000万元以下</w:t>
            </w:r>
          </w:p>
        </w:tc>
        <w:tc>
          <w:tcPr>
            <w:tcW w:w="609" w:type="dxa"/>
            <w:tcBorders>
              <w:top w:val="single" w:color="auto" w:sz="4" w:space="0"/>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single" w:color="auto" w:sz="4" w:space="0"/>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937" w:type="dxa"/>
            <w:tcBorders>
              <w:top w:val="single" w:color="auto" w:sz="4" w:space="0"/>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single" w:color="auto" w:sz="4" w:space="0"/>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2</w:t>
            </w:r>
          </w:p>
        </w:tc>
        <w:tc>
          <w:tcPr>
            <w:tcW w:w="802" w:type="dxa"/>
            <w:vMerge w:val="continue"/>
            <w:tcBorders>
              <w:top w:val="single" w:color="auto" w:sz="4" w:space="0"/>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03" w:type="dxa"/>
            <w:vMerge w:val="continue"/>
            <w:tcBorders>
              <w:top w:val="single" w:color="auto" w:sz="4" w:space="0"/>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35" w:type="dxa"/>
            <w:vMerge w:val="continue"/>
            <w:tcBorders>
              <w:top w:val="single" w:color="auto" w:sz="4" w:space="0"/>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84" w:type="dxa"/>
            <w:vMerge w:val="continue"/>
            <w:tcBorders>
              <w:top w:val="single" w:color="auto" w:sz="4" w:space="0"/>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1149" w:type="dxa"/>
            <w:vMerge w:val="continue"/>
            <w:tcBorders>
              <w:top w:val="nil"/>
              <w:left w:val="single" w:color="auto" w:sz="4" w:space="0"/>
              <w:bottom w:val="single" w:color="auto" w:sz="8" w:space="0"/>
              <w:right w:val="single" w:color="auto" w:sz="8" w:space="0"/>
            </w:tcBorders>
            <w:vAlign w:val="center"/>
          </w:tcPr>
          <w:p>
            <w:pPr>
              <w:widowControl/>
              <w:jc w:val="left"/>
              <w:rPr>
                <w:rFonts w:ascii="新宋体" w:hAnsi="新宋体" w:eastAsia="新宋体" w:cs="新宋体"/>
                <w:kern w:val="0"/>
                <w:sz w:val="24"/>
              </w:rPr>
            </w:pPr>
          </w:p>
        </w:tc>
        <w:tc>
          <w:tcPr>
            <w:tcW w:w="2649"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5000万元-1亿元</w:t>
            </w:r>
          </w:p>
        </w:tc>
        <w:tc>
          <w:tcPr>
            <w:tcW w:w="609"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2</w:t>
            </w:r>
          </w:p>
        </w:tc>
        <w:tc>
          <w:tcPr>
            <w:tcW w:w="937"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w:t>
            </w:r>
          </w:p>
        </w:tc>
        <w:tc>
          <w:tcPr>
            <w:tcW w:w="802"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03"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35"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84"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9" w:hRule="atLeast"/>
          <w:jc w:val="center"/>
        </w:trPr>
        <w:tc>
          <w:tcPr>
            <w:tcW w:w="1149" w:type="dxa"/>
            <w:vMerge w:val="continue"/>
            <w:tcBorders>
              <w:top w:val="nil"/>
              <w:left w:val="single" w:color="auto" w:sz="4" w:space="0"/>
              <w:bottom w:val="single" w:color="auto" w:sz="8" w:space="0"/>
              <w:right w:val="single" w:color="auto" w:sz="8" w:space="0"/>
            </w:tcBorders>
            <w:vAlign w:val="center"/>
          </w:tcPr>
          <w:p>
            <w:pPr>
              <w:widowControl/>
              <w:jc w:val="left"/>
              <w:rPr>
                <w:rFonts w:ascii="新宋体" w:hAnsi="新宋体" w:eastAsia="新宋体" w:cs="新宋体"/>
                <w:kern w:val="0"/>
                <w:sz w:val="24"/>
              </w:rPr>
            </w:pPr>
          </w:p>
        </w:tc>
        <w:tc>
          <w:tcPr>
            <w:tcW w:w="2649"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1亿元以上</w:t>
            </w:r>
          </w:p>
        </w:tc>
        <w:tc>
          <w:tcPr>
            <w:tcW w:w="609"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w:t>
            </w:r>
          </w:p>
        </w:tc>
        <w:tc>
          <w:tcPr>
            <w:tcW w:w="937"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nil"/>
              <w:left w:val="single" w:color="auto" w:sz="4" w:space="0"/>
              <w:bottom w:val="single" w:color="auto" w:sz="8"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4</w:t>
            </w:r>
          </w:p>
        </w:tc>
        <w:tc>
          <w:tcPr>
            <w:tcW w:w="802"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03"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35"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84"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1149" w:type="dxa"/>
            <w:vMerge w:val="restart"/>
            <w:tcBorders>
              <w:top w:val="single" w:color="auto" w:sz="4" w:space="0"/>
              <w:left w:val="single" w:color="auto" w:sz="4" w:space="0"/>
              <w:bottom w:val="single" w:color="000000" w:sz="6" w:space="0"/>
              <w:right w:val="single" w:color="auto" w:sz="8"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基坑工程</w:t>
            </w:r>
          </w:p>
        </w:tc>
        <w:tc>
          <w:tcPr>
            <w:tcW w:w="970" w:type="dxa"/>
            <w:vMerge w:val="restart"/>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深度＜5米</w:t>
            </w:r>
          </w:p>
        </w:tc>
        <w:tc>
          <w:tcPr>
            <w:tcW w:w="1679"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3000万元以下</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9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2" w:type="dxa"/>
            <w:vMerge w:val="restart"/>
            <w:tcBorders>
              <w:top w:val="nil"/>
              <w:left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803" w:type="dxa"/>
            <w:vMerge w:val="restart"/>
            <w:tcBorders>
              <w:top w:val="nil"/>
              <w:left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835" w:type="dxa"/>
            <w:vMerge w:val="restart"/>
            <w:tcBorders>
              <w:top w:val="nil"/>
              <w:left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884" w:type="dxa"/>
            <w:vMerge w:val="restart"/>
            <w:tcBorders>
              <w:top w:val="nil"/>
              <w:left w:val="single" w:color="auto" w:sz="4" w:space="0"/>
              <w:right w:val="single" w:color="auto" w:sz="4" w:space="0"/>
            </w:tcBorders>
            <w:vAlign w:val="center"/>
          </w:tcPr>
          <w:p>
            <w:pPr>
              <w:widowControl/>
              <w:jc w:val="left"/>
              <w:rPr>
                <w:rFonts w:ascii="新宋体" w:hAnsi="新宋体" w:eastAsia="新宋体" w:cs="新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8" w:hRule="atLeast"/>
          <w:jc w:val="center"/>
        </w:trPr>
        <w:tc>
          <w:tcPr>
            <w:tcW w:w="1149" w:type="dxa"/>
            <w:vMerge w:val="continue"/>
            <w:tcBorders>
              <w:top w:val="single" w:color="auto" w:sz="4" w:space="0"/>
              <w:left w:val="single" w:color="auto" w:sz="4" w:space="0"/>
              <w:bottom w:val="single" w:color="000000" w:sz="6" w:space="0"/>
              <w:right w:val="single" w:color="auto" w:sz="8" w:space="0"/>
            </w:tcBorders>
            <w:vAlign w:val="center"/>
          </w:tcPr>
          <w:p>
            <w:pPr>
              <w:widowControl/>
              <w:jc w:val="left"/>
              <w:rPr>
                <w:rFonts w:ascii="新宋体" w:hAnsi="新宋体" w:eastAsia="新宋体" w:cs="新宋体"/>
                <w:kern w:val="0"/>
                <w:sz w:val="24"/>
              </w:rPr>
            </w:pPr>
          </w:p>
        </w:tc>
        <w:tc>
          <w:tcPr>
            <w:tcW w:w="970" w:type="dxa"/>
            <w:vMerge w:val="continue"/>
            <w:tcBorders>
              <w:top w:val="single" w:color="auto" w:sz="4" w:space="0"/>
              <w:left w:val="nil"/>
              <w:bottom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1679"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3000万元以上</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2</w:t>
            </w:r>
          </w:p>
        </w:tc>
        <w:tc>
          <w:tcPr>
            <w:tcW w:w="9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2</w:t>
            </w:r>
          </w:p>
        </w:tc>
        <w:tc>
          <w:tcPr>
            <w:tcW w:w="802"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03"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35"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84"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1149" w:type="dxa"/>
            <w:vMerge w:val="continue"/>
            <w:tcBorders>
              <w:top w:val="single" w:color="auto" w:sz="4" w:space="0"/>
              <w:left w:val="single" w:color="auto" w:sz="4" w:space="0"/>
              <w:bottom w:val="single" w:color="000000" w:sz="6" w:space="0"/>
              <w:right w:val="single" w:color="auto" w:sz="8" w:space="0"/>
            </w:tcBorders>
            <w:vAlign w:val="center"/>
          </w:tcPr>
          <w:p>
            <w:pPr>
              <w:widowControl/>
              <w:jc w:val="left"/>
              <w:rPr>
                <w:rFonts w:ascii="新宋体" w:hAnsi="新宋体" w:eastAsia="新宋体" w:cs="新宋体"/>
                <w:kern w:val="0"/>
                <w:sz w:val="24"/>
              </w:rPr>
            </w:pPr>
          </w:p>
        </w:tc>
        <w:tc>
          <w:tcPr>
            <w:tcW w:w="970" w:type="dxa"/>
            <w:vMerge w:val="restart"/>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5米≤深度＜8米</w:t>
            </w:r>
          </w:p>
        </w:tc>
        <w:tc>
          <w:tcPr>
            <w:tcW w:w="1679"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3000万元以下</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2</w:t>
            </w:r>
          </w:p>
        </w:tc>
        <w:tc>
          <w:tcPr>
            <w:tcW w:w="9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2</w:t>
            </w:r>
          </w:p>
        </w:tc>
        <w:tc>
          <w:tcPr>
            <w:tcW w:w="802"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03"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35"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84" w:type="dxa"/>
            <w:vMerge w:val="continue"/>
            <w:tcBorders>
              <w:top w:val="nil"/>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12" w:hRule="atLeast"/>
          <w:jc w:val="center"/>
        </w:trPr>
        <w:tc>
          <w:tcPr>
            <w:tcW w:w="1149"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新宋体" w:hAnsi="新宋体" w:eastAsia="新宋体" w:cs="新宋体"/>
                <w:kern w:val="0"/>
                <w:sz w:val="24"/>
              </w:rPr>
            </w:pPr>
          </w:p>
        </w:tc>
        <w:tc>
          <w:tcPr>
            <w:tcW w:w="970" w:type="dxa"/>
            <w:vMerge w:val="continue"/>
            <w:tcBorders>
              <w:top w:val="single" w:color="auto" w:sz="4" w:space="0"/>
              <w:left w:val="nil"/>
              <w:bottom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1679"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3000万元以上</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w:t>
            </w:r>
          </w:p>
        </w:tc>
        <w:tc>
          <w:tcPr>
            <w:tcW w:w="9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w:t>
            </w:r>
          </w:p>
        </w:tc>
        <w:tc>
          <w:tcPr>
            <w:tcW w:w="802"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835"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新宋体"/>
                <w:kern w:val="0"/>
                <w:sz w:val="24"/>
              </w:rPr>
            </w:pPr>
          </w:p>
        </w:tc>
        <w:tc>
          <w:tcPr>
            <w:tcW w:w="884"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cs="新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1149" w:type="dxa"/>
            <w:vMerge w:val="continue"/>
            <w:tcBorders>
              <w:top w:val="single" w:color="auto" w:sz="4" w:space="0"/>
              <w:left w:val="single" w:color="auto" w:sz="4" w:space="0"/>
              <w:bottom w:val="single" w:color="000000" w:sz="6" w:space="0"/>
              <w:right w:val="single" w:color="auto" w:sz="8" w:space="0"/>
            </w:tcBorders>
            <w:vAlign w:val="center"/>
          </w:tcPr>
          <w:p>
            <w:pPr>
              <w:widowControl/>
              <w:jc w:val="left"/>
              <w:rPr>
                <w:rFonts w:ascii="新宋体" w:hAnsi="新宋体" w:eastAsia="新宋体" w:cs="新宋体"/>
                <w:kern w:val="0"/>
                <w:sz w:val="24"/>
              </w:rPr>
            </w:pPr>
          </w:p>
        </w:tc>
        <w:tc>
          <w:tcPr>
            <w:tcW w:w="2649"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深度≥8米</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8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w:t>
            </w:r>
          </w:p>
        </w:tc>
        <w:tc>
          <w:tcPr>
            <w:tcW w:w="9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1</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3</w:t>
            </w:r>
          </w:p>
        </w:tc>
        <w:tc>
          <w:tcPr>
            <w:tcW w:w="802" w:type="dxa"/>
            <w:tcBorders>
              <w:top w:val="single" w:color="auto" w:sz="4" w:space="0"/>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03" w:type="dxa"/>
            <w:tcBorders>
              <w:top w:val="single" w:color="auto" w:sz="4" w:space="0"/>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35" w:type="dxa"/>
            <w:tcBorders>
              <w:top w:val="single" w:color="auto" w:sz="4" w:space="0"/>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c>
          <w:tcPr>
            <w:tcW w:w="884" w:type="dxa"/>
            <w:tcBorders>
              <w:top w:val="single" w:color="auto" w:sz="4" w:space="0"/>
              <w:left w:val="single" w:color="auto" w:sz="4" w:space="0"/>
              <w:bottom w:val="single" w:color="000000" w:sz="6" w:space="0"/>
              <w:right w:val="single" w:color="auto" w:sz="4" w:space="0"/>
            </w:tcBorders>
            <w:vAlign w:val="center"/>
          </w:tcPr>
          <w:p>
            <w:pPr>
              <w:widowControl/>
              <w:jc w:val="left"/>
              <w:rPr>
                <w:rFonts w:ascii="新宋体" w:hAnsi="新宋体" w:eastAsia="新宋体" w:cs="新宋体"/>
                <w:kern w:val="0"/>
                <w:sz w:val="24"/>
              </w:rPr>
            </w:pPr>
          </w:p>
        </w:tc>
      </w:tr>
    </w:tbl>
    <w:p>
      <w:pPr>
        <w:spacing w:line="360" w:lineRule="auto"/>
      </w:pPr>
      <w:r>
        <w:rPr>
          <w:rFonts w:hint="eastAsia"/>
          <w:b/>
          <w:sz w:val="24"/>
        </w:rPr>
        <w:t>10.2</w:t>
      </w:r>
      <w:r>
        <w:rPr>
          <w:rFonts w:hint="eastAsia"/>
        </w:rPr>
        <w:t>否决性条款</w:t>
      </w:r>
    </w:p>
    <w:p>
      <w:pPr>
        <w:spacing w:line="360" w:lineRule="auto"/>
        <w:ind w:firstLine="420" w:firstLineChars="200"/>
        <w:rPr>
          <w:rFonts w:ascii="宋体" w:hAnsi="宋体"/>
          <w:szCs w:val="21"/>
        </w:rPr>
      </w:pPr>
      <w:r>
        <w:rPr>
          <w:rFonts w:hint="eastAsia" w:ascii="宋体" w:hAnsi="宋体"/>
          <w:szCs w:val="21"/>
        </w:rPr>
        <w:t>本否决性条款中没有列出的不予受理或废标的条款，不得作为不予受理或废标的依据。</w:t>
      </w:r>
    </w:p>
    <w:p>
      <w:pPr>
        <w:spacing w:line="360" w:lineRule="auto"/>
        <w:ind w:firstLine="422" w:firstLineChars="200"/>
        <w:rPr>
          <w:rFonts w:ascii="宋体" w:hAnsi="宋体"/>
          <w:b/>
          <w:szCs w:val="21"/>
        </w:rPr>
      </w:pPr>
      <w:r>
        <w:rPr>
          <w:rFonts w:hint="eastAsia" w:ascii="宋体" w:hAnsi="宋体"/>
          <w:b/>
          <w:szCs w:val="21"/>
        </w:rPr>
        <w:t>10.2.1竞投单位有下列情形之一的，不受理竞投：</w:t>
      </w:r>
    </w:p>
    <w:p>
      <w:pPr>
        <w:spacing w:line="360" w:lineRule="auto"/>
        <w:ind w:firstLine="420" w:firstLineChars="200"/>
        <w:rPr>
          <w:rFonts w:ascii="宋体" w:hAnsi="宋体"/>
          <w:szCs w:val="21"/>
        </w:rPr>
      </w:pPr>
      <w:r>
        <w:rPr>
          <w:rFonts w:hint="eastAsia" w:ascii="宋体" w:hAnsi="宋体"/>
          <w:szCs w:val="21"/>
        </w:rPr>
        <w:t xml:space="preserve">10.2.1.1为不具有独立法人资格的附属机构（单位）； </w:t>
      </w:r>
    </w:p>
    <w:p>
      <w:pPr>
        <w:spacing w:line="360" w:lineRule="auto"/>
        <w:ind w:firstLine="420" w:firstLineChars="200"/>
        <w:rPr>
          <w:rFonts w:ascii="宋体" w:hAnsi="宋体"/>
          <w:szCs w:val="21"/>
        </w:rPr>
      </w:pPr>
      <w:r>
        <w:rPr>
          <w:rFonts w:hint="eastAsia" w:ascii="宋体" w:hAnsi="宋体"/>
          <w:szCs w:val="21"/>
        </w:rPr>
        <w:t>10.2.1.2为本竞投项目前期准备提供设计或咨询服务的，但设计施工总承包的除外；</w:t>
      </w:r>
    </w:p>
    <w:p>
      <w:pPr>
        <w:spacing w:line="360" w:lineRule="auto"/>
        <w:ind w:firstLine="420" w:firstLineChars="200"/>
        <w:rPr>
          <w:rFonts w:ascii="宋体" w:hAnsi="宋体"/>
          <w:szCs w:val="21"/>
        </w:rPr>
      </w:pPr>
      <w:r>
        <w:rPr>
          <w:rFonts w:hint="eastAsia" w:ascii="宋体" w:hAnsi="宋体"/>
          <w:szCs w:val="21"/>
        </w:rPr>
        <w:t>10.2.1.3为本竞投项目的监理人；</w:t>
      </w:r>
    </w:p>
    <w:p>
      <w:pPr>
        <w:spacing w:line="360" w:lineRule="auto"/>
        <w:ind w:firstLine="420" w:firstLineChars="200"/>
        <w:rPr>
          <w:rFonts w:ascii="宋体" w:hAnsi="宋体"/>
          <w:szCs w:val="21"/>
        </w:rPr>
      </w:pPr>
      <w:r>
        <w:rPr>
          <w:rFonts w:hint="eastAsia" w:ascii="宋体" w:hAnsi="宋体"/>
          <w:szCs w:val="21"/>
        </w:rPr>
        <w:t>10.2.1.4为本竞投项目的代建人：</w:t>
      </w:r>
    </w:p>
    <w:p>
      <w:pPr>
        <w:spacing w:line="360" w:lineRule="auto"/>
        <w:ind w:firstLine="420" w:firstLineChars="200"/>
        <w:rPr>
          <w:rFonts w:ascii="宋体" w:hAnsi="宋体"/>
          <w:szCs w:val="21"/>
        </w:rPr>
      </w:pPr>
      <w:r>
        <w:rPr>
          <w:rFonts w:hint="eastAsia" w:ascii="宋体" w:hAnsi="宋体"/>
          <w:szCs w:val="21"/>
        </w:rPr>
        <w:t>10.2.1.5为本竞投项目提供代理单位服务的；</w:t>
      </w:r>
    </w:p>
    <w:p>
      <w:pPr>
        <w:spacing w:line="360" w:lineRule="auto"/>
        <w:ind w:firstLine="420" w:firstLineChars="200"/>
        <w:rPr>
          <w:rFonts w:ascii="宋体" w:hAnsi="宋体"/>
          <w:szCs w:val="21"/>
        </w:rPr>
      </w:pPr>
      <w:r>
        <w:rPr>
          <w:rFonts w:hint="eastAsia" w:ascii="宋体" w:hAnsi="宋体"/>
          <w:szCs w:val="21"/>
        </w:rPr>
        <w:t>10.2.1.6与本竞投项目的监理人或代建人或代理单位同为一个法定代表人的：</w:t>
      </w:r>
    </w:p>
    <w:p>
      <w:pPr>
        <w:spacing w:line="360" w:lineRule="auto"/>
        <w:ind w:firstLine="420" w:firstLineChars="200"/>
        <w:rPr>
          <w:rFonts w:ascii="宋体" w:hAnsi="宋体"/>
          <w:szCs w:val="21"/>
        </w:rPr>
      </w:pPr>
      <w:r>
        <w:rPr>
          <w:rFonts w:hint="eastAsia" w:ascii="宋体" w:hAnsi="宋体"/>
          <w:szCs w:val="21"/>
        </w:rPr>
        <w:t>10.2.1.7与本竞投项目的监理人或代建人或代理单位相互控股或参股的；</w:t>
      </w:r>
    </w:p>
    <w:p>
      <w:pPr>
        <w:spacing w:line="360" w:lineRule="auto"/>
        <w:ind w:firstLine="420" w:firstLineChars="200"/>
        <w:rPr>
          <w:rFonts w:ascii="宋体" w:hAnsi="宋体"/>
          <w:szCs w:val="21"/>
        </w:rPr>
      </w:pPr>
      <w:r>
        <w:rPr>
          <w:rFonts w:hint="eastAsia" w:ascii="宋体" w:hAnsi="宋体"/>
          <w:szCs w:val="21"/>
        </w:rPr>
        <w:t>10.2.1.8与本竞投项目的监理人或代建人或代理单位相互任职或工作的：</w:t>
      </w:r>
    </w:p>
    <w:p>
      <w:pPr>
        <w:spacing w:line="360" w:lineRule="auto"/>
        <w:ind w:firstLine="420" w:firstLineChars="200"/>
        <w:rPr>
          <w:rFonts w:ascii="宋体" w:hAnsi="宋体"/>
          <w:szCs w:val="21"/>
        </w:rPr>
      </w:pPr>
      <w:r>
        <w:rPr>
          <w:rFonts w:hint="eastAsia" w:ascii="宋体" w:hAnsi="宋体"/>
          <w:szCs w:val="21"/>
        </w:rPr>
        <w:t>10.2.1.9</w:t>
      </w:r>
      <w:r>
        <w:rPr>
          <w:rFonts w:hint="eastAsia"/>
        </w:rPr>
        <w:t>单位负责人与其他竞投单位为同一人或者存在控股、管理关系的；</w:t>
      </w:r>
    </w:p>
    <w:p>
      <w:pPr>
        <w:spacing w:line="360" w:lineRule="auto"/>
        <w:ind w:firstLine="420" w:firstLineChars="200"/>
        <w:rPr>
          <w:rFonts w:ascii="宋体" w:hAnsi="宋体"/>
          <w:szCs w:val="21"/>
        </w:rPr>
      </w:pPr>
      <w:r>
        <w:rPr>
          <w:rFonts w:hint="eastAsia" w:ascii="宋体" w:hAnsi="宋体"/>
          <w:szCs w:val="21"/>
        </w:rPr>
        <w:t>10.2.1.10处于被责令停业期内的；</w:t>
      </w:r>
    </w:p>
    <w:p>
      <w:pPr>
        <w:spacing w:line="360" w:lineRule="auto"/>
        <w:ind w:firstLine="420" w:firstLineChars="200"/>
        <w:rPr>
          <w:rFonts w:ascii="宋体" w:hAnsi="宋体"/>
          <w:szCs w:val="21"/>
        </w:rPr>
      </w:pPr>
      <w:r>
        <w:rPr>
          <w:rFonts w:hint="eastAsia" w:ascii="宋体" w:hAnsi="宋体"/>
          <w:szCs w:val="21"/>
        </w:rPr>
        <w:t>10.2.1.11处于被暂停或取消竞投资格期内的；</w:t>
      </w:r>
    </w:p>
    <w:p>
      <w:pPr>
        <w:spacing w:line="360" w:lineRule="auto"/>
        <w:ind w:firstLine="420" w:firstLineChars="200"/>
        <w:rPr>
          <w:rFonts w:ascii="宋体" w:hAnsi="宋体"/>
          <w:szCs w:val="21"/>
        </w:rPr>
      </w:pPr>
      <w:r>
        <w:rPr>
          <w:rFonts w:hint="eastAsia" w:ascii="宋体" w:hAnsi="宋体"/>
          <w:szCs w:val="21"/>
        </w:rPr>
        <w:t>10.2.1.12处于财产被接管或冻结期内的；</w:t>
      </w:r>
    </w:p>
    <w:p>
      <w:pPr>
        <w:spacing w:line="360" w:lineRule="auto"/>
        <w:ind w:firstLine="420" w:firstLineChars="200"/>
        <w:rPr>
          <w:rFonts w:ascii="宋体" w:hAnsi="宋体"/>
          <w:szCs w:val="21"/>
        </w:rPr>
      </w:pPr>
      <w:r>
        <w:rPr>
          <w:rFonts w:hint="eastAsia" w:ascii="宋体" w:hAnsi="宋体"/>
          <w:szCs w:val="21"/>
        </w:rPr>
        <w:t>（如联合体竞投，联合体任一成员具有上述任一情况的，将不予受理竞投。）</w:t>
      </w:r>
    </w:p>
    <w:p>
      <w:pPr>
        <w:spacing w:line="360" w:lineRule="auto"/>
        <w:ind w:firstLine="432"/>
        <w:rPr>
          <w:rFonts w:ascii="宋体" w:hAnsi="宋体"/>
          <w:szCs w:val="21"/>
        </w:rPr>
      </w:pPr>
      <w:r>
        <w:rPr>
          <w:rFonts w:hint="eastAsia" w:ascii="宋体" w:hAnsi="宋体"/>
          <w:szCs w:val="21"/>
        </w:rPr>
        <w:t>10.2.1.12未按项目需求书指定时间、地点提交竞投文件的；</w:t>
      </w:r>
    </w:p>
    <w:p>
      <w:pPr>
        <w:spacing w:line="360" w:lineRule="auto"/>
        <w:ind w:firstLine="420" w:firstLineChars="200"/>
        <w:rPr>
          <w:rFonts w:ascii="宋体" w:hAnsi="宋体"/>
          <w:szCs w:val="21"/>
        </w:rPr>
      </w:pPr>
      <w:r>
        <w:rPr>
          <w:rFonts w:hint="eastAsia" w:ascii="宋体" w:hAnsi="宋体"/>
          <w:szCs w:val="21"/>
        </w:rPr>
        <w:t>10.2.1.13竞投单位的法定代表人或法定授权代理人未按时到竞投会现场；</w:t>
      </w:r>
    </w:p>
    <w:p>
      <w:pPr>
        <w:spacing w:line="360" w:lineRule="auto"/>
        <w:ind w:firstLine="420" w:firstLineChars="200"/>
        <w:rPr>
          <w:rFonts w:ascii="宋体" w:hAnsi="宋体"/>
          <w:szCs w:val="21"/>
        </w:rPr>
      </w:pPr>
      <w:r>
        <w:rPr>
          <w:rFonts w:hint="eastAsia" w:ascii="宋体" w:hAnsi="宋体"/>
          <w:szCs w:val="21"/>
        </w:rPr>
        <w:t>10.2.1.14法定代表人参加竞投会会时，未能当场递交法定代表人证明书或法定代表人证明书上未盖竞投单位的公章；或法定代表人未当场出示身份证原件；</w:t>
      </w:r>
      <w:r>
        <w:rPr>
          <w:rFonts w:hint="eastAsia" w:ascii="宋体" w:hAnsi="宋体"/>
          <w:szCs w:val="21"/>
        </w:rPr>
        <w:tab/>
      </w:r>
    </w:p>
    <w:p>
      <w:pPr>
        <w:spacing w:line="360" w:lineRule="auto"/>
        <w:ind w:firstLine="420" w:firstLineChars="200"/>
        <w:rPr>
          <w:rFonts w:ascii="宋体" w:hAnsi="宋体"/>
          <w:szCs w:val="21"/>
        </w:rPr>
      </w:pPr>
      <w:r>
        <w:rPr>
          <w:rFonts w:hint="eastAsia" w:ascii="宋体" w:hAnsi="宋体"/>
          <w:szCs w:val="21"/>
        </w:rPr>
        <w:t>10.2.1.15法定代表人不能到场而由法定授权代理人参加时，未能当场递交无法定代表人证明书或无法人授权委托证明书；或法定代表人证明书上未盖竞投单位公章；或法人授权委托证明书上无法定代表人的签字或未加盖竞投单位的公章；或委托的代理人未当场出示身份证原件；</w:t>
      </w:r>
    </w:p>
    <w:p>
      <w:pPr>
        <w:spacing w:line="360" w:lineRule="auto"/>
        <w:ind w:firstLine="420" w:firstLineChars="200"/>
        <w:rPr>
          <w:rFonts w:ascii="宋体" w:hAnsi="宋体"/>
          <w:szCs w:val="21"/>
        </w:rPr>
      </w:pPr>
      <w:r>
        <w:rPr>
          <w:rFonts w:hint="eastAsia" w:ascii="宋体" w:hAnsi="宋体"/>
          <w:szCs w:val="21"/>
        </w:rPr>
        <w:t>10.2.1.16递交的竞投文件未密封的；</w:t>
      </w:r>
    </w:p>
    <w:p>
      <w:pPr>
        <w:spacing w:line="360" w:lineRule="auto"/>
        <w:ind w:firstLine="420" w:firstLineChars="200"/>
        <w:rPr>
          <w:rFonts w:ascii="宋体" w:hAnsi="宋体"/>
          <w:szCs w:val="21"/>
        </w:rPr>
      </w:pPr>
      <w:r>
        <w:rPr>
          <w:rFonts w:hint="eastAsia" w:ascii="宋体" w:hAnsi="宋体"/>
          <w:szCs w:val="21"/>
        </w:rPr>
        <w:t>10.2.1.17递交的竞投文件未按项目需求书第二章第4.1.1 项或第4.1.2 项要求密封和加写标记的；</w:t>
      </w:r>
    </w:p>
    <w:p>
      <w:pPr>
        <w:spacing w:line="360" w:lineRule="auto"/>
        <w:ind w:firstLine="420" w:firstLineChars="200"/>
        <w:rPr>
          <w:rFonts w:ascii="宋体" w:hAnsi="宋体"/>
          <w:szCs w:val="21"/>
        </w:rPr>
      </w:pPr>
      <w:r>
        <w:rPr>
          <w:rFonts w:hint="eastAsia" w:ascii="宋体" w:hAnsi="宋体"/>
          <w:szCs w:val="21"/>
        </w:rPr>
        <w:t>10.2.1.18竞投文件封面未标注工程名称、“基本资料竞投文件”、“资格竞投文件”或“经济竞投文件”字样或没有法定代表人（法定授权代理人）签字或没有加盖单位公章的（适用于纸质竞投文件）；</w:t>
      </w:r>
    </w:p>
    <w:p>
      <w:pPr>
        <w:spacing w:line="360" w:lineRule="auto"/>
        <w:ind w:firstLine="420"/>
        <w:rPr>
          <w:rFonts w:ascii="宋体" w:hAnsi="宋体"/>
          <w:b/>
          <w:color w:val="FF0000"/>
          <w:szCs w:val="21"/>
        </w:rPr>
      </w:pPr>
      <w:r>
        <w:rPr>
          <w:rFonts w:hint="eastAsia" w:ascii="宋体" w:hAnsi="宋体"/>
          <w:b/>
          <w:szCs w:val="21"/>
        </w:rPr>
        <w:t>10.2.1.19未按竞投须知前附表10.6规定，</w:t>
      </w:r>
      <w:r>
        <w:rPr>
          <w:rFonts w:hint="eastAsia" w:ascii="宋体" w:hAnsi="宋体"/>
          <w:b/>
          <w:color w:val="FF0000"/>
          <w:szCs w:val="21"/>
        </w:rPr>
        <w:t>竞投会资格审查时未能提交相关材料查验的:；</w:t>
      </w:r>
    </w:p>
    <w:p>
      <w:pPr>
        <w:spacing w:line="360" w:lineRule="auto"/>
        <w:ind w:firstLine="420"/>
        <w:rPr>
          <w:rFonts w:ascii="宋体" w:hAnsi="宋体"/>
          <w:szCs w:val="21"/>
        </w:rPr>
      </w:pPr>
      <w:r>
        <w:rPr>
          <w:rFonts w:hint="eastAsia" w:ascii="宋体" w:hAnsi="宋体" w:cs="宋体"/>
          <w:kern w:val="0"/>
          <w:szCs w:val="21"/>
        </w:rPr>
        <w:t>10.2.1.20</w:t>
      </w:r>
      <w:r>
        <w:rPr>
          <w:rFonts w:hint="eastAsia" w:ascii="宋体" w:hAnsi="宋体"/>
          <w:szCs w:val="21"/>
        </w:rPr>
        <w:t>未按规定缴纳竞投保证金的；</w:t>
      </w:r>
    </w:p>
    <w:p>
      <w:pPr>
        <w:spacing w:line="360" w:lineRule="auto"/>
        <w:ind w:firstLine="420" w:firstLineChars="200"/>
        <w:rPr>
          <w:rFonts w:ascii="宋体" w:hAnsi="宋体"/>
          <w:szCs w:val="21"/>
        </w:rPr>
      </w:pPr>
      <w:r>
        <w:rPr>
          <w:rFonts w:hint="eastAsia" w:ascii="宋体" w:hAnsi="宋体" w:cs="宋体"/>
          <w:kern w:val="0"/>
          <w:szCs w:val="21"/>
        </w:rPr>
        <w:t>10.2.1.21提疑文件具有识别竞投单位单位及人员的标识。</w:t>
      </w:r>
    </w:p>
    <w:p>
      <w:pPr>
        <w:spacing w:line="360" w:lineRule="auto"/>
        <w:ind w:firstLine="422" w:firstLineChars="200"/>
        <w:rPr>
          <w:rFonts w:ascii="宋体" w:hAnsi="宋体"/>
          <w:b/>
          <w:szCs w:val="21"/>
        </w:rPr>
      </w:pPr>
      <w:r>
        <w:rPr>
          <w:rFonts w:hint="eastAsia" w:ascii="宋体" w:hAnsi="宋体"/>
          <w:b/>
          <w:szCs w:val="21"/>
        </w:rPr>
        <w:t>10.2.2竞投单位有下列情形之一的，其竞投文件将被否决：</w:t>
      </w:r>
    </w:p>
    <w:p>
      <w:pPr>
        <w:spacing w:line="360" w:lineRule="auto"/>
        <w:ind w:firstLine="420" w:firstLineChars="200"/>
        <w:rPr>
          <w:rFonts w:ascii="宋体" w:hAnsi="宋体"/>
          <w:bCs/>
          <w:szCs w:val="21"/>
          <w:u w:val="single"/>
        </w:rPr>
      </w:pPr>
      <w:r>
        <w:rPr>
          <w:rFonts w:hint="eastAsia" w:ascii="宋体" w:hAnsi="宋体"/>
          <w:szCs w:val="21"/>
        </w:rPr>
        <w:t>10.2.2.1</w:t>
      </w:r>
      <w:r>
        <w:rPr>
          <w:rFonts w:hint="eastAsia" w:ascii="宋体" w:hAnsi="宋体"/>
          <w:bCs/>
          <w:szCs w:val="21"/>
        </w:rPr>
        <w:t>竞投单位以他人的名义竞投或串通竞投、弄虚作假、夸大内容竞投的；</w:t>
      </w:r>
    </w:p>
    <w:p>
      <w:pPr>
        <w:spacing w:line="360" w:lineRule="auto"/>
        <w:ind w:firstLine="420" w:firstLineChars="200"/>
        <w:rPr>
          <w:rFonts w:ascii="宋体" w:hAnsi="宋体"/>
          <w:szCs w:val="21"/>
        </w:rPr>
      </w:pPr>
      <w:r>
        <w:rPr>
          <w:rFonts w:hint="eastAsia" w:ascii="宋体" w:hAnsi="宋体"/>
          <w:szCs w:val="21"/>
        </w:rPr>
        <w:t>10.2.2.2竞投文件未加盖单位公章或未有法定代表人或者被授权人签名的 ；</w:t>
      </w:r>
    </w:p>
    <w:p>
      <w:pPr>
        <w:spacing w:line="360" w:lineRule="auto"/>
        <w:ind w:firstLine="420" w:firstLineChars="200"/>
        <w:rPr>
          <w:rFonts w:ascii="宋体" w:hAnsi="宋体"/>
          <w:szCs w:val="21"/>
        </w:rPr>
      </w:pPr>
      <w:r>
        <w:rPr>
          <w:rFonts w:hint="eastAsia" w:ascii="宋体" w:hAnsi="宋体"/>
          <w:szCs w:val="21"/>
        </w:rPr>
        <w:t>10.2.2.3竞投文件</w:t>
      </w:r>
      <w:r>
        <w:rPr>
          <w:rFonts w:hint="eastAsia" w:ascii="宋体" w:hAnsi="宋体" w:cs="Arial"/>
          <w:szCs w:val="21"/>
        </w:rPr>
        <w:t>内容字迹模糊、无法辨认的</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10.2.2.4项目需求书有规定，实质上符合项目需求书要求，但在个别地方存在遗漏或者提供了不完整的，评审委员会要求该竞投单位在评审结束前予以澄清、说明或补正，竞投单位拒绝澄清、说明或补正的；</w:t>
      </w:r>
    </w:p>
    <w:p>
      <w:pPr>
        <w:spacing w:line="360" w:lineRule="auto"/>
        <w:ind w:firstLine="420" w:firstLineChars="200"/>
        <w:rPr>
          <w:rFonts w:ascii="宋体" w:hAnsi="宋体"/>
          <w:szCs w:val="21"/>
        </w:rPr>
      </w:pPr>
      <w:r>
        <w:rPr>
          <w:rFonts w:hint="eastAsia" w:ascii="宋体" w:hAnsi="宋体"/>
          <w:szCs w:val="21"/>
        </w:rPr>
        <w:t>10.2.2.5不同竞投单位提交的竞投文件有两份及以上内容雷同的；</w:t>
      </w:r>
    </w:p>
    <w:p>
      <w:pPr>
        <w:spacing w:line="360" w:lineRule="auto"/>
        <w:ind w:firstLine="420" w:firstLineChars="200"/>
        <w:rPr>
          <w:rFonts w:ascii="宋体" w:hAnsi="宋体"/>
          <w:b/>
          <w:szCs w:val="21"/>
        </w:rPr>
      </w:pPr>
      <w:r>
        <w:rPr>
          <w:rFonts w:hint="eastAsia" w:ascii="宋体" w:hAnsi="宋体"/>
          <w:szCs w:val="21"/>
        </w:rPr>
        <w:t>10.2.2.6竞投单位递交两份或多分内容不同的竞投文件的（竞投文件另有规定除外）；</w:t>
      </w:r>
    </w:p>
    <w:p>
      <w:pPr>
        <w:spacing w:line="360" w:lineRule="auto"/>
        <w:ind w:firstLine="420" w:firstLineChars="200"/>
        <w:rPr>
          <w:rFonts w:ascii="宋体" w:hAnsi="宋体"/>
          <w:b/>
          <w:szCs w:val="21"/>
        </w:rPr>
      </w:pPr>
      <w:r>
        <w:rPr>
          <w:rFonts w:hint="eastAsia" w:ascii="宋体" w:hAnsi="宋体"/>
          <w:szCs w:val="21"/>
        </w:rPr>
        <w:t>10.2.2.7竞投文件不满足项目需求书规定数量的；</w:t>
      </w:r>
    </w:p>
    <w:p>
      <w:pPr>
        <w:spacing w:line="360" w:lineRule="auto"/>
        <w:ind w:firstLine="420" w:firstLineChars="200"/>
        <w:rPr>
          <w:rFonts w:ascii="宋体" w:hAnsi="宋体"/>
          <w:szCs w:val="21"/>
        </w:rPr>
      </w:pPr>
      <w:r>
        <w:rPr>
          <w:rFonts w:hint="eastAsia" w:ascii="宋体" w:hAnsi="宋体"/>
          <w:szCs w:val="21"/>
        </w:rPr>
        <w:t>10.2.2.8竞投文件上标明的竞投单位资格与报名时的竞投申请人资格发生实质性下降，已下降到低于项目需求书要求的资格条件；或竞投单位名称与报名时不一致的；</w:t>
      </w:r>
    </w:p>
    <w:p>
      <w:pPr>
        <w:spacing w:line="360" w:lineRule="auto"/>
        <w:ind w:firstLine="420" w:firstLineChars="200"/>
        <w:rPr>
          <w:rFonts w:ascii="宋体" w:hAnsi="宋体"/>
          <w:szCs w:val="21"/>
        </w:rPr>
      </w:pPr>
      <w:r>
        <w:rPr>
          <w:rFonts w:hint="eastAsia" w:ascii="宋体" w:hAnsi="宋体"/>
          <w:szCs w:val="21"/>
        </w:rPr>
        <w:t>10.2.2.9</w:t>
      </w:r>
      <w:r>
        <w:rPr>
          <w:rFonts w:hint="eastAsia"/>
        </w:rPr>
        <w:t>资格预审采用“合格制”的，竞投文件中更新的资料不符合资格预审文件中规定的审查标准的；（如有）</w:t>
      </w:r>
    </w:p>
    <w:p>
      <w:pPr>
        <w:spacing w:line="410" w:lineRule="exact"/>
        <w:ind w:firstLine="420" w:firstLineChars="200"/>
      </w:pPr>
      <w:r>
        <w:rPr>
          <w:rFonts w:hint="eastAsia" w:ascii="宋体" w:hAnsi="宋体"/>
          <w:szCs w:val="21"/>
        </w:rPr>
        <w:t>10.2.2.10</w:t>
      </w:r>
      <w:r>
        <w:rPr>
          <w:rFonts w:hint="eastAsia"/>
        </w:rPr>
        <w:t>资格预审采用“有限数量制”的，竞投文件中更新的资料不符合资格预审文件中规定的审查标准，其中以评分方式进行审查的，其更新的资料按照资格预审文件中规定的评分标准评分后，其得分不能保证即便在资格预审阶段仍然能够获得竞投资格且对未通过资格预审的其他资格预审申请人构成不公平的。（如有）</w:t>
      </w:r>
    </w:p>
    <w:p>
      <w:pPr>
        <w:spacing w:line="360" w:lineRule="auto"/>
        <w:ind w:firstLine="420" w:firstLineChars="200"/>
        <w:rPr>
          <w:rFonts w:ascii="宋体" w:hAnsi="宋体"/>
          <w:b/>
          <w:szCs w:val="21"/>
        </w:rPr>
      </w:pPr>
      <w:r>
        <w:rPr>
          <w:rFonts w:hint="eastAsia" w:ascii="宋体" w:hAnsi="宋体"/>
          <w:szCs w:val="21"/>
        </w:rPr>
        <w:t>10.2.2.11未按项目需求书10.1《项目管理机构主要人员配置表》中，提供所有人员社保缴费证明原件的（原件不需要放入密封袋内）；</w:t>
      </w:r>
    </w:p>
    <w:p>
      <w:pPr>
        <w:spacing w:line="360" w:lineRule="auto"/>
        <w:ind w:firstLine="420" w:firstLineChars="200"/>
        <w:rPr>
          <w:rFonts w:ascii="宋体" w:hAnsi="宋体"/>
          <w:dstrike/>
          <w:szCs w:val="21"/>
        </w:rPr>
      </w:pPr>
      <w:r>
        <w:rPr>
          <w:rFonts w:hint="eastAsia" w:ascii="宋体" w:hAnsi="宋体"/>
          <w:szCs w:val="21"/>
        </w:rPr>
        <w:t>10.2.2.12注册建造师的注册单位与竞投单位不符或资格无效；</w:t>
      </w:r>
    </w:p>
    <w:p>
      <w:pPr>
        <w:spacing w:line="360" w:lineRule="auto"/>
        <w:ind w:firstLine="420" w:firstLineChars="200"/>
        <w:rPr>
          <w:rFonts w:ascii="宋体" w:hAnsi="宋体"/>
          <w:bCs/>
          <w:szCs w:val="21"/>
          <w:u w:val="single"/>
        </w:rPr>
      </w:pPr>
      <w:r>
        <w:rPr>
          <w:rFonts w:hint="eastAsia" w:ascii="宋体" w:hAnsi="宋体"/>
          <w:szCs w:val="21"/>
        </w:rPr>
        <w:t>10.2.2.13竞投报价有算术错误的，评审委员会根据项目需求书约定对竞投报价进行修正，修正的价格经竞投单位书面确认后具有约束力，竞投单位不接受修正价格的；</w:t>
      </w:r>
    </w:p>
    <w:p>
      <w:pPr>
        <w:spacing w:line="360" w:lineRule="auto"/>
        <w:ind w:firstLine="420" w:firstLineChars="200"/>
        <w:rPr>
          <w:rFonts w:ascii="宋体" w:hAnsi="宋体"/>
          <w:szCs w:val="21"/>
        </w:rPr>
      </w:pPr>
      <w:r>
        <w:rPr>
          <w:rFonts w:hint="eastAsia" w:ascii="宋体" w:hAnsi="宋体"/>
          <w:szCs w:val="21"/>
        </w:rPr>
        <w:t>10.2.2.14不按评审委员会要求澄清、说明或补正的；</w:t>
      </w:r>
    </w:p>
    <w:p>
      <w:pPr>
        <w:spacing w:line="360" w:lineRule="auto"/>
        <w:ind w:firstLine="420" w:firstLineChars="200"/>
        <w:rPr>
          <w:rFonts w:ascii="宋体" w:hAnsi="宋体"/>
          <w:szCs w:val="21"/>
        </w:rPr>
      </w:pPr>
      <w:r>
        <w:rPr>
          <w:rFonts w:hint="eastAsia" w:ascii="宋体" w:hAnsi="宋体"/>
          <w:szCs w:val="21"/>
        </w:rPr>
        <w:t>10.2.2.15竞投报价汇总表没有依据本项目需求书第八章《竞投文件格式》（三）“经济竞投文件”中附表一提供格式填写，或没有按要求加盖竞投单位公章以及由法定代表人或法定授权代理人签名的；</w:t>
      </w:r>
    </w:p>
    <w:p>
      <w:pPr>
        <w:spacing w:line="360" w:lineRule="auto"/>
        <w:ind w:firstLine="420" w:firstLineChars="200"/>
        <w:rPr>
          <w:rFonts w:ascii="宋体" w:hAnsi="宋体"/>
          <w:szCs w:val="21"/>
        </w:rPr>
      </w:pPr>
      <w:r>
        <w:rPr>
          <w:rFonts w:hint="eastAsia" w:ascii="宋体" w:hAnsi="宋体"/>
          <w:szCs w:val="21"/>
        </w:rPr>
        <w:t>10.2.2.16竞投报价高于竞投报价上限价的；</w:t>
      </w:r>
    </w:p>
    <w:p>
      <w:pPr>
        <w:spacing w:line="360" w:lineRule="auto"/>
        <w:ind w:firstLine="420" w:firstLineChars="200"/>
        <w:rPr>
          <w:rFonts w:ascii="宋体" w:hAnsi="宋体"/>
          <w:szCs w:val="21"/>
        </w:rPr>
      </w:pPr>
      <w:r>
        <w:rPr>
          <w:rFonts w:hint="eastAsia" w:ascii="宋体" w:hAnsi="宋体"/>
          <w:szCs w:val="21"/>
        </w:rPr>
        <w:t>10.2.2.17竞投报价汇总表中没有单列绿色施工安全防护措施费的；或竞投单位的绿色施工安全防护措施的报价低于项目需求书公布的竞投控制价中的绿色施工安全防护措施费用总额的；</w:t>
      </w:r>
    </w:p>
    <w:p>
      <w:pPr>
        <w:spacing w:line="360" w:lineRule="auto"/>
        <w:ind w:firstLine="403" w:firstLineChars="192"/>
        <w:rPr>
          <w:rFonts w:ascii="宋体" w:hAnsi="宋体"/>
          <w:szCs w:val="21"/>
        </w:rPr>
      </w:pPr>
      <w:r>
        <w:rPr>
          <w:rFonts w:hint="eastAsia" w:ascii="宋体" w:hAnsi="宋体"/>
          <w:szCs w:val="21"/>
        </w:rPr>
        <w:t>10.2.2.18竞投报价中的分部分项工程量清单的项目编码项目、项目名称、项目特征、计量单位、工程量与建设单位（项目需求单位）提供的不一致的。</w:t>
      </w:r>
    </w:p>
    <w:p>
      <w:pPr>
        <w:spacing w:line="360" w:lineRule="auto"/>
        <w:ind w:firstLine="420" w:firstLineChars="200"/>
        <w:rPr>
          <w:rFonts w:ascii="宋体" w:hAnsi="宋体"/>
          <w:szCs w:val="21"/>
        </w:rPr>
      </w:pPr>
      <w:r>
        <w:rPr>
          <w:rFonts w:hint="eastAsia" w:ascii="宋体" w:hAnsi="宋体"/>
          <w:szCs w:val="21"/>
        </w:rPr>
        <w:t>10.2.2.19竞投报价中的规费、税金不按现行规定计算的；</w:t>
      </w:r>
    </w:p>
    <w:p>
      <w:pPr>
        <w:spacing w:line="360" w:lineRule="auto"/>
        <w:ind w:firstLine="420" w:firstLineChars="200"/>
        <w:rPr>
          <w:rFonts w:ascii="宋体" w:hAnsi="宋体"/>
          <w:szCs w:val="21"/>
        </w:rPr>
      </w:pPr>
      <w:r>
        <w:rPr>
          <w:rFonts w:hint="eastAsia" w:ascii="宋体" w:hAnsi="宋体"/>
          <w:szCs w:val="21"/>
        </w:rPr>
        <w:t>10.2.2.20竞投报价中的竞投总价或各个单项工程总价通过直接乘以系数或直接增减金额来调整价格的；</w:t>
      </w:r>
    </w:p>
    <w:p>
      <w:pPr>
        <w:spacing w:line="360" w:lineRule="auto"/>
        <w:ind w:firstLine="420" w:firstLineChars="200"/>
        <w:rPr>
          <w:rFonts w:ascii="宋体" w:hAnsi="宋体"/>
          <w:szCs w:val="21"/>
        </w:rPr>
      </w:pPr>
      <w:r>
        <w:rPr>
          <w:rFonts w:hint="eastAsia" w:ascii="宋体" w:hAnsi="宋体"/>
          <w:szCs w:val="21"/>
        </w:rPr>
        <w:t>10.2.2.21竞投报价中没有综合单价分析表的。</w:t>
      </w:r>
    </w:p>
    <w:p>
      <w:pPr>
        <w:spacing w:line="360" w:lineRule="auto"/>
        <w:ind w:firstLine="420" w:firstLineChars="200"/>
        <w:rPr>
          <w:rFonts w:ascii="宋体" w:hAnsi="宋体"/>
          <w:szCs w:val="21"/>
        </w:rPr>
      </w:pPr>
      <w:r>
        <w:rPr>
          <w:rFonts w:hint="eastAsia" w:ascii="宋体" w:hAnsi="宋体"/>
          <w:szCs w:val="21"/>
        </w:rPr>
        <w:t>10.2.2.22竞投报价中没有材料价格明细表的。</w:t>
      </w:r>
    </w:p>
    <w:p>
      <w:pPr>
        <w:spacing w:line="360" w:lineRule="auto"/>
        <w:ind w:firstLine="420" w:firstLineChars="200"/>
        <w:rPr>
          <w:rFonts w:ascii="宋体" w:hAnsi="宋体"/>
          <w:szCs w:val="21"/>
        </w:rPr>
      </w:pPr>
      <w:r>
        <w:rPr>
          <w:rFonts w:hint="eastAsia" w:ascii="宋体" w:hAnsi="宋体"/>
          <w:szCs w:val="21"/>
        </w:rPr>
        <w:t>10.2.2.23工程量综合单价分析表的综合单价乘以系数来调整价格的。</w:t>
      </w:r>
    </w:p>
    <w:p>
      <w:pPr>
        <w:spacing w:line="360" w:lineRule="auto"/>
        <w:ind w:firstLine="420" w:firstLineChars="200"/>
        <w:rPr>
          <w:rFonts w:ascii="宋体" w:hAnsi="宋体"/>
          <w:szCs w:val="21"/>
        </w:rPr>
      </w:pPr>
      <w:r>
        <w:rPr>
          <w:rFonts w:hint="eastAsia" w:ascii="宋体" w:hAnsi="宋体"/>
          <w:szCs w:val="21"/>
        </w:rPr>
        <w:t>10.2.2.24工程量综合单价分析表的人工费或材料费或机械费乘以系数调整价格的。</w:t>
      </w:r>
    </w:p>
    <w:p>
      <w:pPr>
        <w:spacing w:line="360" w:lineRule="auto"/>
        <w:ind w:firstLine="420" w:firstLineChars="200"/>
        <w:rPr>
          <w:rFonts w:ascii="宋体" w:hAnsi="宋体"/>
          <w:szCs w:val="21"/>
        </w:rPr>
      </w:pPr>
      <w:r>
        <w:rPr>
          <w:rFonts w:hint="eastAsia" w:ascii="宋体" w:hAnsi="宋体"/>
          <w:szCs w:val="21"/>
        </w:rPr>
        <w:t>10.2.2.25工程量综合单价分析表的总价与人工费、材料费、机械费、管理费、利润之和相差较大的。（因计算过程由于小数位四舍五入导致的误差除外）。</w:t>
      </w:r>
    </w:p>
    <w:p>
      <w:pPr>
        <w:spacing w:line="360" w:lineRule="auto"/>
        <w:ind w:firstLine="420" w:firstLineChars="200"/>
        <w:rPr>
          <w:rFonts w:ascii="宋体" w:hAnsi="宋体"/>
          <w:szCs w:val="21"/>
        </w:rPr>
      </w:pPr>
      <w:r>
        <w:rPr>
          <w:rFonts w:hint="eastAsia" w:ascii="宋体" w:hAnsi="宋体"/>
          <w:szCs w:val="21"/>
        </w:rPr>
        <w:t>10.2.2.26暂列金额、材料暂估单价、专业工程暂估价未按照竞投控制价中公布的相应金额报价的。</w:t>
      </w:r>
    </w:p>
    <w:p>
      <w:pPr>
        <w:spacing w:line="360" w:lineRule="auto"/>
        <w:ind w:firstLine="420" w:firstLineChars="200"/>
        <w:rPr>
          <w:rFonts w:ascii="宋体" w:hAnsi="宋体"/>
          <w:szCs w:val="21"/>
        </w:rPr>
      </w:pPr>
      <w:r>
        <w:rPr>
          <w:rFonts w:hint="eastAsia" w:ascii="宋体" w:hAnsi="宋体"/>
          <w:szCs w:val="21"/>
        </w:rPr>
        <w:t>10.2.2.27任何报价出现负数的。</w:t>
      </w:r>
    </w:p>
    <w:p>
      <w:pPr>
        <w:spacing w:line="360" w:lineRule="auto"/>
        <w:ind w:firstLine="420" w:firstLineChars="200"/>
        <w:rPr>
          <w:rFonts w:ascii="宋体" w:hAnsi="宋体"/>
          <w:szCs w:val="21"/>
        </w:rPr>
      </w:pPr>
      <w:r>
        <w:rPr>
          <w:rFonts w:hint="eastAsia" w:ascii="宋体" w:hAnsi="宋体"/>
          <w:szCs w:val="21"/>
        </w:rPr>
        <w:t>10.2.2.28</w:t>
      </w:r>
      <w:r>
        <w:rPr>
          <w:rFonts w:hint="eastAsia" w:ascii="宋体" w:hAnsi="宋体"/>
          <w:b/>
          <w:szCs w:val="21"/>
        </w:rPr>
        <w:t>竞投单位的基本资料竞投文件标内的承诺书的内容没有按照项目需求书要求填写，或竞投单位的基本资料竞投文件标内的承诺书的内容与项目需求书中承诺书的内容不一致的。</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10.2.2.29经济竞投文件没有注册造价师（或造价员）签名的；</w:t>
      </w:r>
    </w:p>
    <w:p>
      <w:pPr>
        <w:spacing w:line="360" w:lineRule="auto"/>
        <w:ind w:firstLine="420" w:firstLineChars="200"/>
        <w:rPr>
          <w:rFonts w:ascii="宋体" w:hAnsi="宋体"/>
          <w:b/>
          <w:szCs w:val="21"/>
        </w:rPr>
      </w:pPr>
      <w:r>
        <w:rPr>
          <w:rFonts w:hint="eastAsia" w:ascii="宋体" w:hAnsi="宋体"/>
          <w:szCs w:val="21"/>
        </w:rPr>
        <w:t>10.2.2.30竞投单位资格条件不符合国家有关规定。</w:t>
      </w:r>
    </w:p>
    <w:p>
      <w:pPr>
        <w:spacing w:line="360" w:lineRule="auto"/>
        <w:ind w:firstLine="422" w:firstLineChars="200"/>
        <w:rPr>
          <w:rFonts w:ascii="宋体" w:hAnsi="宋体"/>
          <w:b/>
          <w:szCs w:val="21"/>
        </w:rPr>
      </w:pPr>
      <w:r>
        <w:rPr>
          <w:rFonts w:hint="eastAsia" w:ascii="宋体" w:hAnsi="宋体"/>
          <w:b/>
          <w:szCs w:val="21"/>
        </w:rPr>
        <w:t>10.3竞投报价上限值及绿色施工安全防护措施费</w:t>
      </w:r>
    </w:p>
    <w:p>
      <w:pPr>
        <w:spacing w:line="360" w:lineRule="auto"/>
        <w:ind w:firstLine="420" w:firstLineChars="200"/>
        <w:rPr>
          <w:rFonts w:ascii="宋体" w:hAnsi="宋体" w:cs="Arial"/>
          <w:sz w:val="24"/>
          <w:u w:val="single"/>
        </w:rPr>
      </w:pPr>
      <w:r>
        <w:rPr>
          <w:rFonts w:hint="eastAsia" w:ascii="宋体" w:hAnsi="宋体"/>
          <w:szCs w:val="21"/>
          <w:u w:val="single"/>
        </w:rPr>
        <w:t>竞投报价上限值于评审会现场公布。</w:t>
      </w:r>
    </w:p>
    <w:p>
      <w:pPr>
        <w:spacing w:line="360" w:lineRule="auto"/>
        <w:ind w:firstLine="420" w:firstLineChars="200"/>
        <w:rPr>
          <w:rFonts w:ascii="宋体" w:hAnsi="宋体"/>
          <w:szCs w:val="21"/>
        </w:rPr>
      </w:pPr>
      <w:r>
        <w:rPr>
          <w:rFonts w:hint="eastAsia" w:ascii="宋体" w:hAnsi="宋体"/>
          <w:szCs w:val="21"/>
        </w:rPr>
        <w:t>本工程绿色施工安全防护措施费为：</w:t>
      </w:r>
      <w:r>
        <w:rPr>
          <w:rFonts w:hint="eastAsia" w:ascii="宋体" w:hAnsi="宋体" w:cs="宋体"/>
          <w:b/>
          <w:bCs/>
          <w:color w:val="FF0000"/>
          <w:sz w:val="24"/>
          <w:u w:val="single"/>
        </w:rPr>
        <w:t>690547.40</w:t>
      </w:r>
      <w:r>
        <w:rPr>
          <w:rFonts w:hint="eastAsia" w:ascii="宋体" w:hAnsi="宋体"/>
          <w:b/>
          <w:bCs/>
          <w:color w:val="FF0000"/>
          <w:szCs w:val="21"/>
          <w:u w:val="single"/>
        </w:rPr>
        <w:t>元</w:t>
      </w:r>
      <w:r>
        <w:rPr>
          <w:rFonts w:hint="eastAsia" w:ascii="宋体" w:hAnsi="宋体"/>
          <w:color w:val="FF0000"/>
          <w:szCs w:val="21"/>
          <w:u w:val="single"/>
        </w:rPr>
        <w:t>（</w:t>
      </w:r>
      <w:r>
        <w:rPr>
          <w:rFonts w:hint="eastAsia" w:ascii="宋体" w:hAnsi="宋体"/>
          <w:b/>
          <w:color w:val="FF0000"/>
          <w:szCs w:val="21"/>
          <w:u w:val="single"/>
        </w:rPr>
        <w:t>以下发的中介预算为准</w:t>
      </w:r>
      <w:r>
        <w:rPr>
          <w:rFonts w:hint="eastAsia" w:ascii="宋体" w:hAnsi="宋体"/>
          <w:color w:val="FF0000"/>
          <w:szCs w:val="21"/>
          <w:u w:val="single"/>
        </w:rPr>
        <w:t>）</w:t>
      </w:r>
      <w:r>
        <w:rPr>
          <w:rFonts w:hint="eastAsia" w:ascii="宋体" w:hAnsi="宋体"/>
          <w:szCs w:val="21"/>
        </w:rPr>
        <w:t xml:space="preserve"> ，竞投报价超出竞投报价上限值的或绿色施工安全防护措施费小于本工程竞投控制价中绿色施工安全防护措施费的作废标处理。</w:t>
      </w:r>
    </w:p>
    <w:p>
      <w:pPr>
        <w:spacing w:line="360" w:lineRule="auto"/>
        <w:ind w:firstLine="422" w:firstLineChars="200"/>
        <w:rPr>
          <w:rFonts w:ascii="宋体" w:hAnsi="宋体"/>
          <w:szCs w:val="21"/>
        </w:rPr>
      </w:pPr>
      <w:r>
        <w:rPr>
          <w:rFonts w:hint="eastAsia" w:ascii="宋体" w:hAnsi="宋体"/>
          <w:b/>
          <w:szCs w:val="21"/>
        </w:rPr>
        <w:t>10.4竞投控制价和承包标准</w:t>
      </w:r>
    </w:p>
    <w:p>
      <w:pPr>
        <w:spacing w:line="360" w:lineRule="auto"/>
        <w:ind w:firstLine="422" w:firstLineChars="200"/>
        <w:rPr>
          <w:rFonts w:ascii="宋体" w:hAnsi="宋体"/>
          <w:b/>
          <w:szCs w:val="21"/>
        </w:rPr>
      </w:pPr>
      <w:r>
        <w:rPr>
          <w:rFonts w:hint="eastAsia" w:ascii="宋体" w:hAnsi="宋体"/>
          <w:b/>
          <w:szCs w:val="21"/>
        </w:rPr>
        <w:t xml:space="preserve">10.4.1竞投控制价和承包标准 </w:t>
      </w:r>
    </w:p>
    <w:p>
      <w:pPr>
        <w:spacing w:line="360" w:lineRule="auto"/>
        <w:ind w:firstLine="420" w:firstLineChars="200"/>
      </w:pPr>
      <w:r>
        <w:rPr>
          <w:rFonts w:hint="eastAsia"/>
        </w:rPr>
        <w:t>（</w:t>
      </w:r>
      <w:r>
        <w:t>1</w:t>
      </w:r>
      <w:r>
        <w:rPr>
          <w:rFonts w:hint="eastAsia"/>
        </w:rPr>
        <w:t>）工程量清单按</w:t>
      </w:r>
      <w:r>
        <w:rPr>
          <w:rFonts w:hint="eastAsia" w:ascii="宋体" w:hAnsi="宋体"/>
          <w:szCs w:val="21"/>
        </w:rPr>
        <w:t>有关工程量清单计价规范、工程量计算规范的国家标准及省、市建设主管部门的相关规定进行</w:t>
      </w:r>
      <w:r>
        <w:rPr>
          <w:rFonts w:hint="eastAsia"/>
        </w:rPr>
        <w:t>编制</w:t>
      </w:r>
      <w:r>
        <w:rPr>
          <w:rFonts w:hint="eastAsia" w:ascii="宋体" w:hAnsi="宋体"/>
          <w:szCs w:val="21"/>
        </w:rPr>
        <w:t>。</w:t>
      </w:r>
      <w:r>
        <w:rPr>
          <w:rFonts w:hint="eastAsia"/>
          <w:bCs/>
        </w:rPr>
        <w:t>工程量清单应与竞投单位须知、合同通用条款、合同专用条款、技术规范、技术要求、图纸等文件及结合起来理解或解释。</w:t>
      </w:r>
    </w:p>
    <w:p>
      <w:pPr>
        <w:spacing w:line="360" w:lineRule="auto"/>
        <w:ind w:firstLine="420" w:firstLineChars="200"/>
      </w:pPr>
      <w:r>
        <w:rPr>
          <w:rFonts w:hint="eastAsia"/>
          <w:bCs/>
        </w:rPr>
        <w:t>（</w:t>
      </w:r>
      <w:r>
        <w:rPr>
          <w:bCs/>
        </w:rPr>
        <w:t>2</w:t>
      </w:r>
      <w:r>
        <w:rPr>
          <w:rFonts w:hint="eastAsia"/>
          <w:bCs/>
        </w:rPr>
        <w:t>）</w:t>
      </w:r>
      <w:r>
        <w:rPr>
          <w:rFonts w:hint="eastAsia"/>
        </w:rPr>
        <w:t>建设单位（项目需求单位）根据全套施工设计图纸，按照项目需求书的有关规定，委托有资质的工程造价咨询企业编制竞投控制价。竞投控制价材料价格按广东省建设工程造价管理总站中山市分站发布的《中山市建设工程主要建筑市政安装材料信息价》编制或同期市场价格。</w:t>
      </w:r>
    </w:p>
    <w:p>
      <w:pPr>
        <w:spacing w:line="360" w:lineRule="auto"/>
        <w:ind w:firstLine="420" w:firstLineChars="200"/>
      </w:pPr>
      <w:r>
        <w:rPr>
          <w:rFonts w:hint="eastAsia"/>
        </w:rPr>
        <w:t>（</w:t>
      </w:r>
      <w:r>
        <w:t>3</w:t>
      </w:r>
      <w:r>
        <w:rPr>
          <w:rFonts w:hint="eastAsia"/>
        </w:rPr>
        <w:t>）竞投单位应核对全部工程量清单（或调整后工程量清单）、图纸项目和竞投范围说明，如果认为工程量清单存在项目特征描述不符、错漏或误差，或对施工图设计文件有疑问的，应在前附表1.10.1规定时间内向建设单位（项目需求单位）提出（意见中必须提供具体、完整的工程量计算式），建设单位（项目需求单位）按前附表1.10规定统一书面回复，建设单位（项目需求单位）据实调整并重新发布工程量清单和调整竞投控制价。若竞投单位对调整后工程量清单有异议，应在答疑提问截止前向建设单位（项目需求单位）提出意见（书面意见中必须提供具体、完整的工程量计算式），建设单位（项目需求单位）统一按前附表1.10规定回复。</w:t>
      </w:r>
    </w:p>
    <w:p>
      <w:pPr>
        <w:spacing w:line="360" w:lineRule="auto"/>
        <w:ind w:firstLine="630" w:firstLineChars="300"/>
      </w:pPr>
      <w:r>
        <w:rPr>
          <w:rFonts w:hint="eastAsia"/>
        </w:rPr>
        <w:t>竞投单位按工程量清单（或调整后工程量清单）报价，中选后按竞投图纸（竞投范围内项目）施工。除了因不可预见、建设单位（项目需求单位）原因、设计修改、材料或人工单价调整按</w:t>
      </w:r>
      <w:r>
        <w:rPr>
          <w:rFonts w:hint="eastAsia"/>
          <w:lang w:eastAsia="zh-CN"/>
        </w:rPr>
        <w:t>财政局</w:t>
      </w:r>
      <w:r>
        <w:rPr>
          <w:rFonts w:hint="eastAsia"/>
        </w:rPr>
        <w:t>文件执行等特别说明的原因或其他建设单位（项目需求单位）特别同意等因素可以调整价格外，报价不予调整。</w:t>
      </w:r>
    </w:p>
    <w:p>
      <w:pPr>
        <w:spacing w:line="360" w:lineRule="auto"/>
        <w:ind w:firstLine="480"/>
      </w:pPr>
      <w:r>
        <w:rPr>
          <w:rFonts w:hint="eastAsia"/>
        </w:rPr>
        <w:t>（</w:t>
      </w:r>
      <w:r>
        <w:t>4</w:t>
      </w:r>
      <w:r>
        <w:rPr>
          <w:rFonts w:hint="eastAsia"/>
        </w:rPr>
        <w:t>）竞投单位的竞投价，应是完成本项目竞投范围内的全部工程的竞投总报价。竞投单位应认真填写工程量清单中所列明的所有需要填写综合单价和合价的项目，且只允许有一个报价。竞投单位没有填入综合单价和合价的项目，建设单位（项目需求单位）将不予支付，并认为该费用已包括在工程量清单中其他项目的综合单价和合价中。</w:t>
      </w:r>
    </w:p>
    <w:p>
      <w:pPr>
        <w:spacing w:line="360" w:lineRule="auto"/>
        <w:ind w:firstLine="480"/>
        <w:rPr>
          <w:bCs/>
        </w:rPr>
      </w:pPr>
      <w:r>
        <w:rPr>
          <w:rFonts w:hint="eastAsia"/>
          <w:bCs/>
        </w:rPr>
        <w:t>（</w:t>
      </w:r>
      <w:r>
        <w:rPr>
          <w:bCs/>
        </w:rPr>
        <w:t>5</w:t>
      </w:r>
      <w:r>
        <w:rPr>
          <w:rFonts w:hint="eastAsia"/>
          <w:bCs/>
        </w:rPr>
        <w:t>）工程量清单中所填入的综合单价为按技术规范与技术要求完成一个规定计量单位的工程所需的人工费、材料费、机械使用费、管理费、利润并考虑风险因素。按技术规范、项目需求书、设计图纸、国标《建设工程工程量清单计价规范》、有关现行计价依据及办法等要求为完成一个规定计量单位的工程量所需的其他一切费用除非竞投单位在措施项目清单中列出，否则视为已被包含在工程量清单各项目综合单价中。</w:t>
      </w:r>
    </w:p>
    <w:p>
      <w:pPr>
        <w:spacing w:line="360" w:lineRule="auto"/>
        <w:ind w:firstLine="480"/>
        <w:rPr>
          <w:b/>
        </w:rPr>
      </w:pPr>
      <w:r>
        <w:rPr>
          <w:rFonts w:hint="eastAsia"/>
          <w:b/>
          <w:bCs/>
        </w:rPr>
        <w:t>提示</w:t>
      </w:r>
      <w:r>
        <w:rPr>
          <w:rFonts w:hint="eastAsia"/>
          <w:b/>
        </w:rPr>
        <w:t>：竞投单位所填报的该项单价均已包含了完成与该分部分项工程有关的一切必要的工序和工作内容以及达到合格工程质量要求的一切工程费用和措施性费用（措施项目清单内单列的除外），即包含工程量清单中没有体现的但施工中必须发生的一切工作内容所需费用。</w:t>
      </w:r>
    </w:p>
    <w:p>
      <w:pPr>
        <w:spacing w:line="360" w:lineRule="auto"/>
        <w:ind w:firstLine="480"/>
      </w:pPr>
      <w:r>
        <w:rPr>
          <w:rFonts w:hint="eastAsia"/>
        </w:rPr>
        <w:t>（</w:t>
      </w:r>
      <w:r>
        <w:t>6</w:t>
      </w:r>
      <w:r>
        <w:rPr>
          <w:rFonts w:hint="eastAsia"/>
        </w:rPr>
        <w:t>）中选单位因承包本项目需缴纳的一切税费均由中选单位承担，并包含在所报的单价或总价中。</w:t>
      </w:r>
    </w:p>
    <w:p>
      <w:pPr>
        <w:spacing w:line="360" w:lineRule="auto"/>
        <w:ind w:firstLine="480"/>
      </w:pPr>
      <w:r>
        <w:rPr>
          <w:rFonts w:hint="eastAsia"/>
        </w:rPr>
        <w:t>（</w:t>
      </w:r>
      <w:r>
        <w:t>7</w:t>
      </w:r>
      <w:r>
        <w:rPr>
          <w:rFonts w:hint="eastAsia"/>
        </w:rPr>
        <w:t>）本工程为固定总价合同，实行总价包干。竞投单位应按照施工图及项目需求书有关工期、质量、文明施工、安全等的要求，按照答疑会后公布的中介机构编制的该工程竞投控制价（或工程量清单），并根据竞投项目的特点，结合市场情况和企业自身竞争能力自行确定竞投报价。竞投单位的报价将被视为竞投单位完全理解了工程量清单和施工图纸中的全部项目、数量及内容。中选后，中选人在工程实施过程中发现实际施工完成量（不含非中选单位原因引起的工程变更）与工程量清单存在差异时，差异部分不作调整。工程变更按本项目需求书中</w:t>
      </w:r>
      <w:r>
        <w:t>(14)</w:t>
      </w:r>
      <w:r>
        <w:rPr>
          <w:rFonts w:hint="eastAsia"/>
        </w:rPr>
        <w:t>有关条款执行。竞投单位应结合现场施工条件，将工程的所有临时设施（如施工工棚、施工排水、施工通道等）、场地租用、保险费、税、停水、停电以及排除影响施工的各类障碍等考虑在竞投报价中。</w:t>
      </w:r>
    </w:p>
    <w:p>
      <w:pPr>
        <w:spacing w:line="360" w:lineRule="auto"/>
        <w:ind w:firstLine="480"/>
      </w:pPr>
      <w:r>
        <w:rPr>
          <w:rFonts w:hint="eastAsia"/>
        </w:rPr>
        <w:t>（</w:t>
      </w:r>
      <w:r>
        <w:t>8</w:t>
      </w:r>
      <w:r>
        <w:rPr>
          <w:rFonts w:hint="eastAsia"/>
        </w:rPr>
        <w:t>）竞投单位竞投报价时应考虑并承担一定的风险，如物价、气候、水文地质等情况变化及其他意外困难等。竞投单位认为必要采取的任何施工、技术施工、辅助工程、临时工程等费用须包含在竞投总报价中。</w:t>
      </w:r>
    </w:p>
    <w:p>
      <w:pPr>
        <w:spacing w:line="360" w:lineRule="auto"/>
        <w:ind w:firstLine="480"/>
      </w:pPr>
      <w:r>
        <w:rPr>
          <w:rFonts w:hint="eastAsia"/>
        </w:rPr>
        <w:t>（</w:t>
      </w:r>
      <w:r>
        <w:t>9</w:t>
      </w:r>
      <w:r>
        <w:rPr>
          <w:rFonts w:hint="eastAsia"/>
        </w:rPr>
        <w:t>）竞投单位应做好对本工程周边建、构筑物等的保护工作，尤其要采取相应有效的措施做好对沿线埋设管线的保护，因措施不当，防护不力而引发的问题概由中选人负责，此措施等费用包含在竞投总报价中。</w:t>
      </w:r>
    </w:p>
    <w:p>
      <w:pPr>
        <w:spacing w:line="360" w:lineRule="auto"/>
        <w:ind w:firstLine="480"/>
      </w:pPr>
      <w:r>
        <w:rPr>
          <w:rFonts w:hint="eastAsia"/>
        </w:rPr>
        <w:t>（</w:t>
      </w:r>
      <w:r>
        <w:t>10</w:t>
      </w:r>
      <w:r>
        <w:rPr>
          <w:rFonts w:hint="eastAsia"/>
        </w:rPr>
        <w:t>）本工程建设单位（项目需求单位）提供的竞投控制价作为竞投单位竞投报价的文件且答疑会后建设单位（项目需求单位）提供的竞投控制价的实体工程量原则上不允许改动</w:t>
      </w:r>
      <w:r>
        <w:t>,</w:t>
      </w:r>
      <w:r>
        <w:rPr>
          <w:rFonts w:hint="eastAsia"/>
        </w:rPr>
        <w:t>各竞投单位应根据竞投控制价的实体工程量、施工图纸及现场情况等进行报价，一旦确定了中选人和中选价，除另有规定外，建设单位（项目需求单位）将执行中选价结算。</w:t>
      </w:r>
    </w:p>
    <w:p>
      <w:pPr>
        <w:spacing w:line="360" w:lineRule="auto"/>
        <w:ind w:firstLine="480"/>
      </w:pPr>
      <w:r>
        <w:rPr>
          <w:rFonts w:hint="eastAsia"/>
        </w:rPr>
        <w:t>（</w:t>
      </w:r>
      <w:r>
        <w:t>11</w:t>
      </w:r>
      <w:r>
        <w:rPr>
          <w:rFonts w:hint="eastAsia"/>
        </w:rPr>
        <w:t>）竞投报价范围内的工程造价除设计变更或项目需求书、竞投答疑中允许的调整范围，将不因市场价格变化而调整。在计费时，竞投单位应将施工风险系数等费用考虑入工程竞投总报价中。</w:t>
      </w:r>
    </w:p>
    <w:p>
      <w:pPr>
        <w:spacing w:line="360" w:lineRule="auto"/>
        <w:ind w:firstLine="480"/>
      </w:pPr>
      <w:r>
        <w:rPr>
          <w:rFonts w:hint="eastAsia"/>
        </w:rPr>
        <w:t>（</w:t>
      </w:r>
      <w:r>
        <w:t>12</w:t>
      </w:r>
      <w:r>
        <w:rPr>
          <w:rFonts w:hint="eastAsia"/>
        </w:rPr>
        <w:t>）竞投单位在竞投时参考的主材品牌除满足设计、国家有关技术标准外，品质还需不低于竞投控制价建议品牌。在工程实施阶段，中选单位采购的主材产品，需经监理工程师及建设单位（项目需求单位）审批同意方可采购。</w:t>
      </w:r>
    </w:p>
    <w:p>
      <w:pPr>
        <w:spacing w:line="360" w:lineRule="auto"/>
        <w:ind w:firstLine="480"/>
      </w:pPr>
      <w:r>
        <w:rPr>
          <w:rFonts w:hint="eastAsia"/>
        </w:rPr>
        <w:t>（</w:t>
      </w:r>
      <w:r>
        <w:t>13</w:t>
      </w:r>
      <w:r>
        <w:rPr>
          <w:rFonts w:hint="eastAsia"/>
        </w:rPr>
        <w:t>）设计变更及合同价款调整</w:t>
      </w:r>
    </w:p>
    <w:p>
      <w:pPr>
        <w:spacing w:line="360" w:lineRule="auto"/>
        <w:ind w:firstLine="480"/>
      </w:pPr>
      <w:r>
        <w:t xml:space="preserve">    </w:t>
      </w:r>
      <w:r>
        <w:rPr>
          <w:rFonts w:hint="eastAsia"/>
        </w:rPr>
        <w:t>由于非中选单位原因，由设计单位所作的工程修改、变更，按以下方式结算：</w:t>
      </w:r>
    </w:p>
    <w:p>
      <w:pPr>
        <w:pStyle w:val="17"/>
        <w:numPr>
          <w:ilvl w:val="0"/>
          <w:numId w:val="2"/>
        </w:numPr>
        <w:spacing w:line="360" w:lineRule="auto"/>
        <w:ind w:firstLineChars="0"/>
        <w:rPr>
          <w:rFonts w:ascii="Times New Roman" w:hAnsi="Times New Roman"/>
        </w:rPr>
      </w:pPr>
      <w:r>
        <w:rPr>
          <w:rFonts w:hint="eastAsia" w:ascii="Times New Roman" w:hAnsi="Times New Roman"/>
        </w:rPr>
        <w:t>合同中已有使用于变更工程的单价，按合同已有的单价变更合同价款。</w:t>
      </w:r>
    </w:p>
    <w:p>
      <w:pPr>
        <w:pStyle w:val="17"/>
        <w:numPr>
          <w:ilvl w:val="0"/>
          <w:numId w:val="2"/>
        </w:numPr>
        <w:spacing w:line="360" w:lineRule="auto"/>
        <w:ind w:firstLineChars="0"/>
        <w:rPr>
          <w:rFonts w:ascii="Times New Roman" w:hAnsi="Times New Roman"/>
        </w:rPr>
      </w:pPr>
      <w:r>
        <w:rPr>
          <w:rFonts w:hint="eastAsia" w:ascii="Times New Roman" w:hAnsi="Times New Roman"/>
        </w:rPr>
        <w:t>合同中已有类似于变更工程的单价，可参照类似单价变更合同价款。</w:t>
      </w:r>
    </w:p>
    <w:p>
      <w:pPr>
        <w:spacing w:line="360" w:lineRule="auto"/>
        <w:ind w:firstLine="688" w:firstLineChars="328"/>
      </w:pPr>
      <w:r>
        <w:t>3</w:t>
      </w:r>
      <w:r>
        <w:rPr>
          <w:rFonts w:hint="eastAsia"/>
        </w:rPr>
        <w:t>）合同中没有适用或类似于变更工程的单价，由中选单位提出适当的变更单价，经造价单位审核、建设单位（项目需求单位）批准同意后执行。</w:t>
      </w:r>
    </w:p>
    <w:p>
      <w:pPr>
        <w:spacing w:line="360" w:lineRule="auto"/>
        <w:ind w:firstLine="688" w:firstLineChars="328"/>
      </w:pPr>
      <w:r>
        <w:rPr>
          <w:rFonts w:hint="eastAsia"/>
        </w:rPr>
        <w:t>4）变更、修改设计的工程内容中选人不得拒绝承担，且工期不作调整。如因规划变更等原因，建设单位（项目需求单位）有权调整竞投范围和内容，中选人必须无条件执行。</w:t>
      </w:r>
    </w:p>
    <w:p>
      <w:pPr>
        <w:spacing w:line="360" w:lineRule="auto"/>
        <w:ind w:firstLine="480"/>
      </w:pPr>
      <w:r>
        <w:rPr>
          <w:rFonts w:hint="eastAsia"/>
        </w:rPr>
        <w:t>（</w:t>
      </w:r>
      <w:r>
        <w:t>14</w:t>
      </w:r>
      <w:r>
        <w:rPr>
          <w:rFonts w:hint="eastAsia"/>
        </w:rPr>
        <w:t>）竣工验收及移交</w:t>
      </w:r>
    </w:p>
    <w:p>
      <w:pPr>
        <w:spacing w:line="360" w:lineRule="auto"/>
        <w:ind w:firstLine="480"/>
      </w:pPr>
      <w:r>
        <w:rPr>
          <w:rFonts w:hint="eastAsia"/>
        </w:rPr>
        <w:t>中选单位按相关专业部门的要求，编制竣工技术文件，并在向建设单位（项目需求单位）提供竣工报告的同时一起移交，工程竣工验收报告经建设单位（项目需求单位）认可后</w:t>
      </w:r>
      <w:r>
        <w:t>28</w:t>
      </w:r>
      <w:r>
        <w:rPr>
          <w:rFonts w:hint="eastAsia"/>
        </w:rPr>
        <w:t>天内，中选单位按中山市财政局有关要求向建设单位（项目需求单位）递交竣工结算报告及完整的结算资料，双方按照协议书约定的合同价款及专用条款约定的合同价款调整内容，进行工程竣工结算。</w:t>
      </w:r>
    </w:p>
    <w:p>
      <w:pPr>
        <w:spacing w:line="360" w:lineRule="auto"/>
        <w:ind w:firstLine="480"/>
      </w:pPr>
      <w:r>
        <w:rPr>
          <w:rFonts w:hint="eastAsia"/>
        </w:rPr>
        <w:t>本工程中选单位须按《广东省市政基础设施工程施工质量技术资料统一用表（</w:t>
      </w:r>
      <w:r>
        <w:t>2010</w:t>
      </w:r>
      <w:r>
        <w:rPr>
          <w:rFonts w:hint="eastAsia"/>
        </w:rPr>
        <w:t>版）》编制相关工程技术资料；除纸质技术资料外，还须提供电子文档（包括竣工图）。</w:t>
      </w:r>
    </w:p>
    <w:p>
      <w:pPr>
        <w:spacing w:line="360" w:lineRule="auto"/>
        <w:ind w:firstLine="480"/>
      </w:pPr>
      <w:r>
        <w:rPr>
          <w:rFonts w:hint="eastAsia"/>
        </w:rPr>
        <w:t>（</w:t>
      </w:r>
      <w:r>
        <w:t>15</w:t>
      </w:r>
      <w:r>
        <w:rPr>
          <w:rFonts w:hint="eastAsia"/>
        </w:rPr>
        <w:t>）工程质量保修期及保修金</w:t>
      </w:r>
    </w:p>
    <w:p>
      <w:pPr>
        <w:spacing w:line="360" w:lineRule="auto"/>
        <w:ind w:firstLine="480"/>
      </w:pPr>
      <w:r>
        <w:rPr>
          <w:rFonts w:hint="eastAsia"/>
        </w:rPr>
        <w:t>工程质量保修期按《建设工程质量管理条例》有关规定执行，中选人在向建设单位（项目需求单位）提交工程竣工验收报告时，向建设单位（项目需求单位）出具质量保修书，如属施工质量引起的问题，由中选方全部负责并无偿保修。质量保修金按工程价款结算总额3</w:t>
      </w:r>
      <w:r>
        <w:t>%</w:t>
      </w:r>
      <w:r>
        <w:rPr>
          <w:rFonts w:hint="eastAsia"/>
        </w:rPr>
        <w:t>预留，待工程竣工结算审定后一年内支付（无息）。</w:t>
      </w:r>
    </w:p>
    <w:p>
      <w:pPr>
        <w:spacing w:line="360" w:lineRule="auto"/>
        <w:ind w:firstLine="480"/>
        <w:rPr>
          <w:b/>
          <w:color w:val="FF0000"/>
        </w:rPr>
      </w:pPr>
      <w:r>
        <w:rPr>
          <w:rFonts w:hint="eastAsia"/>
          <w:b/>
          <w:color w:val="FF0000"/>
        </w:rPr>
        <w:t>（</w:t>
      </w:r>
      <w:r>
        <w:rPr>
          <w:b/>
          <w:color w:val="FF0000"/>
        </w:rPr>
        <w:t>16</w:t>
      </w:r>
      <w:r>
        <w:rPr>
          <w:rFonts w:hint="eastAsia"/>
          <w:b/>
          <w:color w:val="FF0000"/>
        </w:rPr>
        <w:t>）工程价款支付</w:t>
      </w:r>
    </w:p>
    <w:p>
      <w:pPr>
        <w:pStyle w:val="6"/>
        <w:spacing w:line="360" w:lineRule="auto"/>
        <w:ind w:firstLine="420" w:firstLineChars="200"/>
      </w:pPr>
      <w:r>
        <w:rPr>
          <w:rFonts w:hint="eastAsia"/>
        </w:rPr>
        <w:t>中选单位在开工前必须完善施工许可手续，</w:t>
      </w:r>
      <w:r>
        <w:rPr>
          <w:rFonts w:hint="eastAsia" w:ascii="宋体" w:hAnsi="宋体"/>
          <w:szCs w:val="21"/>
        </w:rPr>
        <w:t>要求在发出</w:t>
      </w:r>
      <w:r>
        <w:rPr>
          <w:rFonts w:hint="eastAsia" w:ascii="宋体" w:hAnsi="宋体"/>
          <w:szCs w:val="21"/>
          <w:lang w:eastAsia="zh-CN"/>
        </w:rPr>
        <w:t>竞争选取</w:t>
      </w:r>
      <w:r>
        <w:rPr>
          <w:rFonts w:hint="eastAsia" w:ascii="宋体" w:hAnsi="宋体"/>
          <w:szCs w:val="21"/>
        </w:rPr>
        <w:t>通知书后</w:t>
      </w:r>
      <w:r>
        <w:rPr>
          <w:rFonts w:hint="eastAsia" w:ascii="宋体" w:hAnsi="宋体"/>
          <w:color w:val="FF0000"/>
          <w:szCs w:val="21"/>
          <w:u w:val="single"/>
        </w:rPr>
        <w:t>30</w:t>
      </w:r>
      <w:r>
        <w:rPr>
          <w:rFonts w:hint="eastAsia" w:ascii="宋体" w:hAnsi="宋体"/>
          <w:szCs w:val="21"/>
        </w:rPr>
        <w:t>个日历天内提供与其相关的报建资料，</w:t>
      </w:r>
      <w:r>
        <w:rPr>
          <w:rFonts w:hint="eastAsia"/>
        </w:rPr>
        <w:t>否则建设单位（项目需求单位）有权拒付工程进度款。</w:t>
      </w:r>
    </w:p>
    <w:p>
      <w:pPr>
        <w:spacing w:line="360" w:lineRule="auto"/>
        <w:ind w:firstLine="480"/>
        <w:rPr>
          <w:rFonts w:ascii="宋体" w:hAnsi="宋体"/>
          <w:szCs w:val="21"/>
        </w:rPr>
      </w:pPr>
      <w:r>
        <w:rPr>
          <w:rFonts w:hint="eastAsia" w:ascii="宋体" w:hAnsi="宋体"/>
          <w:szCs w:val="21"/>
        </w:rPr>
        <w:t>工程进度款的支付具体如下：</w:t>
      </w:r>
    </w:p>
    <w:p>
      <w:pPr>
        <w:spacing w:line="360" w:lineRule="auto"/>
        <w:ind w:firstLine="480"/>
        <w:rPr>
          <w:rFonts w:hint="default" w:ascii="宋体" w:hAnsi="宋体" w:cs="宋体"/>
          <w:color w:val="FF0000"/>
          <w:szCs w:val="21"/>
          <w:u w:val="none"/>
          <w:lang w:val="en-US" w:eastAsia="zh-CN"/>
        </w:rPr>
      </w:pPr>
      <w:r>
        <w:rPr>
          <w:rFonts w:hint="default" w:ascii="宋体" w:hAnsi="宋体" w:cs="宋体"/>
          <w:color w:val="FF0000"/>
          <w:szCs w:val="21"/>
          <w:u w:val="none"/>
          <w:lang w:val="en-US" w:eastAsia="zh-CN"/>
        </w:rPr>
        <w:t>完成桩基</w:t>
      </w:r>
      <w:r>
        <w:rPr>
          <w:rFonts w:hint="eastAsia" w:ascii="宋体" w:hAnsi="宋体" w:cs="宋体"/>
          <w:color w:val="FF0000"/>
          <w:szCs w:val="21"/>
          <w:u w:val="none"/>
          <w:lang w:val="en-US" w:eastAsia="zh-CN"/>
        </w:rPr>
        <w:t>础</w:t>
      </w:r>
      <w:r>
        <w:rPr>
          <w:rFonts w:hint="default" w:ascii="宋体" w:hAnsi="宋体" w:cs="宋体"/>
          <w:color w:val="FF0000"/>
          <w:szCs w:val="21"/>
          <w:u w:val="none"/>
          <w:lang w:val="en-US" w:eastAsia="zh-CN"/>
        </w:rPr>
        <w:t>并取得桩基</w:t>
      </w:r>
      <w:r>
        <w:rPr>
          <w:rFonts w:hint="eastAsia" w:ascii="宋体" w:hAnsi="宋体" w:cs="宋体"/>
          <w:color w:val="FF0000"/>
          <w:szCs w:val="21"/>
          <w:u w:val="none"/>
          <w:lang w:val="en-US" w:eastAsia="zh-CN"/>
        </w:rPr>
        <w:t>础检测</w:t>
      </w:r>
      <w:r>
        <w:rPr>
          <w:rFonts w:hint="default" w:ascii="宋体" w:hAnsi="宋体" w:cs="宋体"/>
          <w:color w:val="FF0000"/>
          <w:szCs w:val="21"/>
          <w:u w:val="none"/>
          <w:lang w:val="en-US" w:eastAsia="zh-CN"/>
        </w:rPr>
        <w:t>合格</w:t>
      </w:r>
      <w:r>
        <w:rPr>
          <w:rFonts w:hint="eastAsia" w:ascii="宋体" w:hAnsi="宋体" w:cs="宋体"/>
          <w:color w:val="FF0000"/>
          <w:szCs w:val="21"/>
          <w:u w:val="none"/>
          <w:lang w:val="en-US" w:eastAsia="zh-CN"/>
        </w:rPr>
        <w:t>报告</w:t>
      </w:r>
      <w:r>
        <w:rPr>
          <w:rFonts w:hint="default" w:ascii="宋体" w:hAnsi="宋体" w:cs="宋体"/>
          <w:color w:val="FF0000"/>
          <w:szCs w:val="21"/>
          <w:u w:val="none"/>
          <w:lang w:val="en-US" w:eastAsia="zh-CN"/>
        </w:rPr>
        <w:t>后支付</w:t>
      </w:r>
      <w:r>
        <w:rPr>
          <w:rFonts w:hint="eastAsia" w:ascii="宋体" w:hAnsi="宋体" w:cs="宋体"/>
          <w:color w:val="FF0000"/>
          <w:szCs w:val="21"/>
          <w:u w:val="none"/>
          <w:lang w:val="en-US" w:eastAsia="zh-CN"/>
        </w:rPr>
        <w:t>合同价</w:t>
      </w:r>
      <w:r>
        <w:rPr>
          <w:rFonts w:hint="default" w:ascii="宋体" w:hAnsi="宋体" w:cs="宋体"/>
          <w:color w:val="FF0000"/>
          <w:szCs w:val="21"/>
          <w:u w:val="none"/>
          <w:lang w:val="en-US" w:eastAsia="zh-CN"/>
        </w:rPr>
        <w:t>的</w:t>
      </w:r>
      <w:r>
        <w:rPr>
          <w:rFonts w:hint="eastAsia" w:ascii="宋体" w:hAnsi="宋体" w:cs="宋体"/>
          <w:color w:val="FF0000"/>
          <w:szCs w:val="21"/>
          <w:u w:val="none"/>
          <w:lang w:val="en-US" w:eastAsia="zh-CN"/>
        </w:rPr>
        <w:t>15</w:t>
      </w:r>
      <w:r>
        <w:rPr>
          <w:rFonts w:hint="default" w:ascii="宋体" w:hAnsi="宋体" w:cs="宋体"/>
          <w:color w:val="FF0000"/>
          <w:szCs w:val="21"/>
          <w:u w:val="none"/>
          <w:lang w:val="en-US" w:eastAsia="zh-CN"/>
        </w:rPr>
        <w:t>%；</w:t>
      </w:r>
    </w:p>
    <w:p>
      <w:pPr>
        <w:spacing w:line="360" w:lineRule="auto"/>
        <w:ind w:firstLine="480"/>
        <w:rPr>
          <w:rFonts w:hint="default" w:ascii="宋体" w:hAnsi="宋体" w:cs="宋体"/>
          <w:color w:val="FF0000"/>
          <w:szCs w:val="21"/>
          <w:u w:val="none"/>
          <w:lang w:val="en-US" w:eastAsia="zh-CN"/>
        </w:rPr>
      </w:pPr>
      <w:r>
        <w:rPr>
          <w:rFonts w:hint="default" w:ascii="宋体" w:hAnsi="宋体" w:cs="宋体"/>
          <w:color w:val="FF0000"/>
          <w:szCs w:val="21"/>
          <w:u w:val="none"/>
          <w:lang w:val="en-US" w:eastAsia="zh-CN"/>
        </w:rPr>
        <w:t>完成地面、主体二层结构楼板支付</w:t>
      </w:r>
      <w:r>
        <w:rPr>
          <w:rFonts w:hint="eastAsia" w:ascii="宋体" w:hAnsi="宋体" w:cs="宋体"/>
          <w:color w:val="FF0000"/>
          <w:szCs w:val="21"/>
          <w:u w:val="none"/>
          <w:lang w:val="en-US" w:eastAsia="zh-CN"/>
        </w:rPr>
        <w:t>合同价</w:t>
      </w:r>
      <w:r>
        <w:rPr>
          <w:rFonts w:hint="default" w:ascii="宋体" w:hAnsi="宋体" w:cs="宋体"/>
          <w:color w:val="FF0000"/>
          <w:szCs w:val="21"/>
          <w:u w:val="none"/>
          <w:lang w:val="en-US" w:eastAsia="zh-CN"/>
        </w:rPr>
        <w:t>的15%；</w:t>
      </w:r>
    </w:p>
    <w:p>
      <w:pPr>
        <w:spacing w:line="360" w:lineRule="auto"/>
        <w:ind w:firstLine="480"/>
        <w:rPr>
          <w:rFonts w:hint="default" w:ascii="宋体" w:hAnsi="宋体" w:cs="宋体"/>
          <w:color w:val="FF0000"/>
          <w:szCs w:val="21"/>
          <w:u w:val="none"/>
          <w:lang w:val="en-US" w:eastAsia="zh-CN"/>
        </w:rPr>
      </w:pPr>
      <w:r>
        <w:rPr>
          <w:rFonts w:hint="default" w:ascii="宋体" w:hAnsi="宋体" w:cs="宋体"/>
          <w:color w:val="FF0000"/>
          <w:szCs w:val="21"/>
          <w:u w:val="none"/>
          <w:lang w:val="en-US" w:eastAsia="zh-CN"/>
        </w:rPr>
        <w:t>完成主体四层结构楼板支付</w:t>
      </w:r>
      <w:r>
        <w:rPr>
          <w:rFonts w:hint="eastAsia" w:ascii="宋体" w:hAnsi="宋体" w:cs="宋体"/>
          <w:color w:val="FF0000"/>
          <w:szCs w:val="21"/>
          <w:u w:val="none"/>
          <w:lang w:val="en-US" w:eastAsia="zh-CN"/>
        </w:rPr>
        <w:t>合同</w:t>
      </w:r>
      <w:r>
        <w:rPr>
          <w:rFonts w:hint="eastAsia" w:ascii="宋体" w:hAnsi="宋体" w:cs="宋体"/>
          <w:color w:val="0000FF"/>
          <w:szCs w:val="21"/>
          <w:u w:val="none"/>
          <w:lang w:val="en-US" w:eastAsia="zh-CN"/>
        </w:rPr>
        <w:t>价</w:t>
      </w:r>
      <w:r>
        <w:rPr>
          <w:rFonts w:hint="default" w:ascii="宋体" w:hAnsi="宋体" w:cs="宋体"/>
          <w:color w:val="FF0000"/>
          <w:szCs w:val="21"/>
          <w:u w:val="none"/>
          <w:lang w:val="en-US" w:eastAsia="zh-CN"/>
        </w:rPr>
        <w:t>的15%；</w:t>
      </w:r>
    </w:p>
    <w:p>
      <w:pPr>
        <w:spacing w:line="360" w:lineRule="auto"/>
        <w:ind w:firstLine="480"/>
        <w:rPr>
          <w:rFonts w:hint="default" w:ascii="宋体" w:hAnsi="宋体" w:cs="宋体"/>
          <w:color w:val="FF0000"/>
          <w:szCs w:val="21"/>
          <w:u w:val="none"/>
          <w:lang w:val="en-US" w:eastAsia="zh-CN"/>
        </w:rPr>
      </w:pPr>
      <w:r>
        <w:rPr>
          <w:rFonts w:hint="default" w:ascii="宋体" w:hAnsi="宋体" w:cs="宋体"/>
          <w:color w:val="FF0000"/>
          <w:szCs w:val="21"/>
          <w:u w:val="none"/>
          <w:lang w:val="en-US" w:eastAsia="zh-CN"/>
        </w:rPr>
        <w:t>完成主体结构楼板封顶支付</w:t>
      </w:r>
      <w:r>
        <w:rPr>
          <w:rFonts w:hint="eastAsia" w:ascii="宋体" w:hAnsi="宋体" w:cs="宋体"/>
          <w:color w:val="FF0000"/>
          <w:szCs w:val="21"/>
          <w:u w:val="none"/>
          <w:lang w:val="en-US" w:eastAsia="zh-CN"/>
        </w:rPr>
        <w:t>合同</w:t>
      </w:r>
      <w:r>
        <w:rPr>
          <w:rFonts w:hint="eastAsia" w:ascii="宋体" w:hAnsi="宋体" w:cs="宋体"/>
          <w:color w:val="0000FF"/>
          <w:szCs w:val="21"/>
          <w:u w:val="none"/>
          <w:lang w:val="en-US" w:eastAsia="zh-CN"/>
        </w:rPr>
        <w:t>价</w:t>
      </w:r>
      <w:r>
        <w:rPr>
          <w:rFonts w:hint="default" w:ascii="宋体" w:hAnsi="宋体" w:cs="宋体"/>
          <w:color w:val="FF0000"/>
          <w:szCs w:val="21"/>
          <w:u w:val="none"/>
          <w:lang w:val="en-US" w:eastAsia="zh-CN"/>
        </w:rPr>
        <w:t>的</w:t>
      </w:r>
      <w:r>
        <w:rPr>
          <w:rFonts w:hint="eastAsia" w:ascii="宋体" w:hAnsi="宋体" w:cs="宋体"/>
          <w:color w:val="FF0000"/>
          <w:szCs w:val="21"/>
          <w:u w:val="none"/>
          <w:lang w:val="en-US" w:eastAsia="zh-CN"/>
        </w:rPr>
        <w:t>20</w:t>
      </w:r>
      <w:r>
        <w:rPr>
          <w:rFonts w:hint="default" w:ascii="宋体" w:hAnsi="宋体" w:cs="宋体"/>
          <w:color w:val="FF0000"/>
          <w:szCs w:val="21"/>
          <w:u w:val="none"/>
          <w:lang w:val="en-US" w:eastAsia="zh-CN"/>
        </w:rPr>
        <w:t>%；</w:t>
      </w:r>
    </w:p>
    <w:p>
      <w:pPr>
        <w:spacing w:line="360" w:lineRule="auto"/>
        <w:ind w:firstLine="480"/>
        <w:rPr>
          <w:rFonts w:hint="default" w:ascii="宋体" w:hAnsi="宋体" w:cs="宋体"/>
          <w:color w:val="FF0000"/>
          <w:szCs w:val="21"/>
          <w:u w:val="none"/>
          <w:lang w:val="en-US" w:eastAsia="zh-CN"/>
        </w:rPr>
      </w:pPr>
      <w:r>
        <w:rPr>
          <w:rFonts w:hint="default" w:ascii="宋体" w:hAnsi="宋体" w:cs="宋体"/>
          <w:color w:val="FF0000"/>
          <w:szCs w:val="21"/>
          <w:u w:val="none"/>
          <w:lang w:val="en-US" w:eastAsia="zh-CN"/>
        </w:rPr>
        <w:t>全部工程完工后，组织各相关单位及部门到现场察看作初步验收合格后，支付</w:t>
      </w:r>
      <w:r>
        <w:rPr>
          <w:rFonts w:hint="eastAsia" w:ascii="宋体" w:hAnsi="宋体" w:cs="宋体"/>
          <w:color w:val="FF0000"/>
          <w:szCs w:val="21"/>
          <w:u w:val="none"/>
          <w:lang w:val="en-US" w:eastAsia="zh-CN"/>
        </w:rPr>
        <w:t>合同价</w:t>
      </w:r>
      <w:r>
        <w:rPr>
          <w:rFonts w:hint="default" w:ascii="宋体" w:hAnsi="宋体" w:cs="宋体"/>
          <w:color w:val="FF0000"/>
          <w:szCs w:val="21"/>
          <w:u w:val="none"/>
          <w:lang w:val="en-US" w:eastAsia="zh-CN"/>
        </w:rPr>
        <w:t>的15%；</w:t>
      </w:r>
    </w:p>
    <w:p>
      <w:pPr>
        <w:spacing w:line="360" w:lineRule="auto"/>
        <w:ind w:firstLine="480"/>
        <w:rPr>
          <w:rFonts w:ascii="宋体" w:hAnsi="宋体"/>
          <w:szCs w:val="21"/>
        </w:rPr>
      </w:pPr>
      <w:r>
        <w:rPr>
          <w:rFonts w:hint="eastAsia" w:ascii="宋体" w:hAnsi="宋体"/>
          <w:color w:val="FF0000"/>
          <w:szCs w:val="21"/>
          <w:lang w:val="en-US" w:eastAsia="zh-CN"/>
        </w:rPr>
        <w:t>完成祥益东路12号厂区-厂房二工程资料整理完善、竣工验收合格并领取竣工验收报告（包括白蚁防治、消防、防雷验收合格证明）支付</w:t>
      </w:r>
      <w:r>
        <w:rPr>
          <w:rFonts w:hint="eastAsia" w:ascii="宋体" w:hAnsi="宋体"/>
          <w:color w:val="0000FF"/>
          <w:szCs w:val="21"/>
          <w:lang w:val="en-US" w:eastAsia="zh-CN"/>
        </w:rPr>
        <w:t>至工程总结算价的97%</w:t>
      </w:r>
      <w:r>
        <w:rPr>
          <w:rFonts w:hint="eastAsia" w:ascii="宋体" w:hAnsi="宋体"/>
          <w:color w:val="FF0000"/>
          <w:szCs w:val="21"/>
          <w:lang w:val="en-US" w:eastAsia="zh-CN"/>
        </w:rPr>
        <w:t>；剩余3%工程款作为质量保证金，待工程竣工结算审定后一年后7天内一次性支付（无息）。</w:t>
      </w:r>
    </w:p>
    <w:p>
      <w:pPr>
        <w:spacing w:line="360" w:lineRule="auto"/>
        <w:ind w:firstLine="480"/>
        <w:rPr>
          <w:color w:val="FF0000"/>
          <w:u w:val="single"/>
        </w:rPr>
      </w:pPr>
      <w:r>
        <w:rPr>
          <w:rFonts w:hint="eastAsia" w:ascii="宋体" w:hAnsi="宋体"/>
          <w:szCs w:val="21"/>
        </w:rPr>
        <w:t>履约保证金退还：主体建筑验收合格后退还50%履约保证金，办理结算审核后退还剩余的50%履约保证金。</w:t>
      </w:r>
    </w:p>
    <w:p>
      <w:pPr>
        <w:spacing w:line="360" w:lineRule="auto"/>
        <w:ind w:firstLine="480"/>
      </w:pPr>
      <w:r>
        <w:rPr>
          <w:rFonts w:hint="eastAsia"/>
        </w:rPr>
        <w:t>（</w:t>
      </w:r>
      <w:r>
        <w:t>17</w:t>
      </w:r>
      <w:r>
        <w:rPr>
          <w:rFonts w:hint="eastAsia"/>
        </w:rPr>
        <w:t>）罚则</w:t>
      </w:r>
    </w:p>
    <w:p>
      <w:pPr>
        <w:spacing w:line="360" w:lineRule="auto"/>
        <w:ind w:firstLine="480"/>
      </w:pPr>
      <w:r>
        <w:t>1</w:t>
      </w:r>
      <w:r>
        <w:rPr>
          <w:rFonts w:hint="eastAsia"/>
        </w:rPr>
        <w:t>）放弃中选的竞投单位的竞投保证金均被没收，建设单位（项目需求单位）将保留追究其责任的权利，并上报建设行政主管部门对其进行处罚。</w:t>
      </w:r>
    </w:p>
    <w:p>
      <w:pPr>
        <w:spacing w:line="360" w:lineRule="auto"/>
        <w:ind w:firstLine="480"/>
      </w:pPr>
      <w:r>
        <w:t>2</w:t>
      </w:r>
      <w:r>
        <w:rPr>
          <w:rFonts w:hint="eastAsia"/>
        </w:rPr>
        <w:t>）因中选单位责任达不到合同工期的，作不良行为记录。</w:t>
      </w:r>
    </w:p>
    <w:p>
      <w:pPr>
        <w:spacing w:line="360" w:lineRule="auto"/>
        <w:ind w:firstLine="480"/>
      </w:pPr>
      <w:r>
        <w:t>3</w:t>
      </w:r>
      <w:r>
        <w:rPr>
          <w:rFonts w:hint="eastAsia"/>
        </w:rPr>
        <w:t>）对无视安全施工和文明施工要求，对建设等方所提的整改意见不见成效，按</w:t>
      </w:r>
      <w:r>
        <w:rPr>
          <w:rFonts w:hint="eastAsia" w:ascii="宋体" w:hAnsi="宋体" w:eastAsia="宋体" w:cs="宋体"/>
        </w:rPr>
        <w:t>2007年6月1</w:t>
      </w:r>
      <w:r>
        <w:rPr>
          <w:rFonts w:hint="eastAsia"/>
        </w:rPr>
        <w:t>日起实施的《生产安全事故报告和调查处理条例》和《广东省建设厅建筑工程安全生产动态管理办法》处罚。</w:t>
      </w:r>
    </w:p>
    <w:p>
      <w:pPr>
        <w:spacing w:line="360" w:lineRule="auto"/>
        <w:ind w:firstLine="480"/>
      </w:pPr>
      <w:r>
        <w:t>4</w:t>
      </w:r>
      <w:r>
        <w:rPr>
          <w:rFonts w:hint="eastAsia"/>
        </w:rPr>
        <w:t>）本工程中选后不得转包，否则作违约处理，视情节追究企业法人责任，并承担相应的商务损失。同时进场施工管理人员必须与竞投书中项目管理机构主要人员配置表中的人员相符，如有变更，须按东省住房和城乡建设厅印发《广东省住房和城乡建设厅关于建设工程项目招标中标后监督检查的办法》的通知（粤建市</w:t>
      </w:r>
      <w:r>
        <w:rPr>
          <w:rFonts w:hint="eastAsia" w:ascii="宋体" w:hAnsi="宋体" w:eastAsia="宋体" w:cs="宋体"/>
        </w:rPr>
        <w:t>〔2009〕8号）</w:t>
      </w:r>
      <w:r>
        <w:rPr>
          <w:rFonts w:hint="eastAsia"/>
        </w:rPr>
        <w:t>执行。</w:t>
      </w:r>
    </w:p>
    <w:p>
      <w:pPr>
        <w:spacing w:line="460" w:lineRule="atLeast"/>
        <w:ind w:firstLine="482"/>
      </w:pPr>
      <w:r>
        <w:t>5</w:t>
      </w:r>
      <w:r>
        <w:rPr>
          <w:rFonts w:hint="eastAsia"/>
        </w:rPr>
        <w:t>）本工程的</w:t>
      </w:r>
      <w:r>
        <w:rPr>
          <w:rFonts w:hint="eastAsia" w:ascii="宋体" w:hAnsi="宋体"/>
          <w:szCs w:val="21"/>
        </w:rPr>
        <w:t>项目经理</w:t>
      </w:r>
      <w:r>
        <w:rPr>
          <w:rFonts w:hint="eastAsia"/>
        </w:rPr>
        <w:t>，必须在现场实施全过程、全方位的施工管理，不得承担其他工程项目的管理工作。在建设单位（项目需求单位）组织的不定期检查中，若发现违反有关规定的，在建设单位（项目需求单位）提出整改要求后，若没有及时改进或没有实质性相应的，情节严重的建设单位（项目需求单位）有权单方解除施工合同，同时提交给中山市住建局作不诚信单位予以备案。中选单位应承担相应的商务责任。</w:t>
      </w:r>
    </w:p>
    <w:p>
      <w:pPr>
        <w:spacing w:line="460" w:lineRule="atLeast"/>
        <w:ind w:firstLine="482"/>
      </w:pPr>
      <w:r>
        <w:rPr>
          <w:rFonts w:hint="eastAsia" w:ascii="宋体" w:hAnsi="宋体"/>
          <w:b/>
          <w:szCs w:val="21"/>
        </w:rPr>
        <w:t>10.5.</w:t>
      </w:r>
      <w:r>
        <w:rPr>
          <w:rFonts w:hint="eastAsia" w:ascii="宋体" w:hAnsi="宋体"/>
          <w:b/>
          <w:bCs/>
          <w:szCs w:val="21"/>
        </w:rPr>
        <w:t>1.</w:t>
      </w:r>
      <w:r>
        <w:rPr>
          <w:rFonts w:hint="eastAsia"/>
          <w:b/>
          <w:bCs/>
        </w:rPr>
        <w:t>竞投须知前附表要求的其他内容。</w:t>
      </w:r>
      <w:bookmarkStart w:id="66" w:name="_Toc184635081"/>
      <w:r>
        <w:rPr>
          <w:rFonts w:ascii="宋体" w:hAnsi="宋体"/>
          <w:sz w:val="24"/>
        </w:rPr>
        <w:br w:type="page"/>
      </w:r>
      <w:r>
        <w:rPr>
          <w:rFonts w:hint="eastAsia"/>
        </w:rPr>
        <w:t xml:space="preserve"> </w:t>
      </w:r>
    </w:p>
    <w:bookmarkEnd w:id="66"/>
    <w:p>
      <w:pPr>
        <w:pStyle w:val="4"/>
      </w:pPr>
      <w:bookmarkStart w:id="67" w:name="_Toc477771273"/>
      <w:bookmarkStart w:id="68" w:name="_Toc398537325"/>
      <w:bookmarkStart w:id="69" w:name="_Toc381691744"/>
      <w:bookmarkStart w:id="70" w:name="_Toc184635082"/>
      <w:bookmarkStart w:id="71" w:name="_Toc427572498"/>
      <w:r>
        <w:rPr>
          <w:rFonts w:hint="eastAsia"/>
        </w:rPr>
        <w:t>附表一：问题澄清通知</w:t>
      </w:r>
      <w:bookmarkEnd w:id="67"/>
      <w:bookmarkEnd w:id="68"/>
      <w:bookmarkEnd w:id="69"/>
      <w:bookmarkEnd w:id="70"/>
      <w:bookmarkEnd w:id="71"/>
    </w:p>
    <w:p>
      <w:pPr>
        <w:spacing w:beforeLines="100"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ind w:firstLine="5355" w:firstLineChars="2550"/>
        <w:rPr>
          <w:u w:val="single"/>
        </w:rPr>
      </w:pPr>
      <w:r>
        <w:rPr>
          <w:rFonts w:hint="eastAsia"/>
        </w:rPr>
        <w:t>编号：</w:t>
      </w:r>
      <w:r>
        <w:rPr>
          <w:rFonts w:hint="eastAsia"/>
          <w:u w:val="single"/>
        </w:rPr>
        <w:t xml:space="preserve">                  </w:t>
      </w:r>
    </w:p>
    <w:p>
      <w:pPr>
        <w:spacing w:line="480" w:lineRule="exact"/>
        <w:ind w:firstLine="420" w:firstLineChars="200"/>
      </w:pPr>
      <w:r>
        <w:rPr>
          <w:rFonts w:hint="eastAsia"/>
          <w:u w:val="single"/>
        </w:rPr>
        <w:t xml:space="preserve">            </w:t>
      </w:r>
      <w:r>
        <w:rPr>
          <w:rFonts w:hint="eastAsia" w:ascii="宋体" w:hAnsi="宋体"/>
          <w:u w:val="single"/>
        </w:rPr>
        <w:t xml:space="preserve">         </w:t>
      </w:r>
      <w:r>
        <w:rPr>
          <w:rFonts w:hint="eastAsia"/>
          <w:u w:val="single"/>
        </w:rPr>
        <w:t xml:space="preserve">      </w:t>
      </w:r>
      <w:r>
        <w:rPr>
          <w:rFonts w:hint="eastAsia"/>
        </w:rPr>
        <w:t>（竞投单位名称）：</w:t>
      </w:r>
    </w:p>
    <w:p>
      <w:pPr>
        <w:spacing w:line="480" w:lineRule="exact"/>
        <w:ind w:firstLine="420" w:firstLineChars="200"/>
      </w:pPr>
      <w:r>
        <w:rPr>
          <w:rFonts w:hint="eastAsia"/>
          <w:u w:val="single"/>
        </w:rPr>
        <w:t xml:space="preserve">             </w:t>
      </w:r>
      <w:r>
        <w:rPr>
          <w:rFonts w:hint="eastAsia"/>
        </w:rPr>
        <w:t>（项目名称）施工竞投的评审委员会，对你方的竞投文件进行了仔细的审查，现需你方对本通知所附质疑问卷中的问题以书面形式予以澄清、说明或者补正。</w:t>
      </w:r>
    </w:p>
    <w:p>
      <w:pPr>
        <w:spacing w:line="480" w:lineRule="exact"/>
        <w:ind w:firstLine="420" w:firstLineChars="200"/>
      </w:pPr>
      <w:r>
        <w:rPr>
          <w:rFonts w:hint="eastAsia"/>
        </w:rPr>
        <w:t>请将上述问题的澄清、说明或者补正于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时前密封递交至</w:t>
      </w:r>
      <w:r>
        <w:rPr>
          <w:rFonts w:hint="eastAsia"/>
          <w:u w:val="single"/>
        </w:rPr>
        <w:t>（详细地址）</w:t>
      </w:r>
      <w:r>
        <w:rPr>
          <w:rFonts w:hint="eastAsia"/>
        </w:rPr>
        <w:t>或传真至</w:t>
      </w:r>
      <w:r>
        <w:rPr>
          <w:rFonts w:hint="eastAsia"/>
          <w:u w:val="single"/>
        </w:rPr>
        <w:t xml:space="preserve">      </w:t>
      </w:r>
      <w:r>
        <w:rPr>
          <w:rFonts w:hint="eastAsia"/>
        </w:rPr>
        <w:t>（传真号码）。采用传真方式的，应在</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时前将原件递交至</w:t>
      </w:r>
      <w:r>
        <w:rPr>
          <w:rFonts w:hint="eastAsia"/>
          <w:u w:val="single"/>
        </w:rPr>
        <w:t xml:space="preserve">                         </w:t>
      </w:r>
      <w:r>
        <w:rPr>
          <w:rFonts w:hint="eastAsia"/>
        </w:rPr>
        <w:t xml:space="preserve"> （详细地址）。</w:t>
      </w:r>
    </w:p>
    <w:p>
      <w:pPr>
        <w:spacing w:line="480" w:lineRule="exact"/>
      </w:pPr>
    </w:p>
    <w:p>
      <w:pPr>
        <w:spacing w:line="480" w:lineRule="exact"/>
      </w:pPr>
      <w:r>
        <w:rPr>
          <w:rFonts w:hint="eastAsia"/>
        </w:rPr>
        <w:t>附件：质疑问卷</w:t>
      </w:r>
    </w:p>
    <w:p>
      <w:pPr>
        <w:spacing w:line="480" w:lineRule="exact"/>
        <w:ind w:firstLine="3570" w:firstLineChars="1700"/>
        <w:outlineLvl w:val="0"/>
        <w:rPr>
          <w:rFonts w:eastAsia="黑体"/>
        </w:rPr>
      </w:pPr>
      <w:r>
        <w:rPr>
          <w:rFonts w:hint="eastAsia"/>
          <w:u w:val="single"/>
        </w:rPr>
        <w:t xml:space="preserve">     </w:t>
      </w:r>
      <w:r>
        <w:rPr>
          <w:rFonts w:hint="eastAsia"/>
        </w:rPr>
        <w:t xml:space="preserve"> </w:t>
      </w:r>
      <w:bookmarkStart w:id="72" w:name="_Toc398537326"/>
      <w:bookmarkStart w:id="73" w:name="_Toc477771274"/>
      <w:bookmarkStart w:id="74" w:name="_Toc381691745"/>
      <w:bookmarkStart w:id="75" w:name="_Toc427572499"/>
      <w:r>
        <w:rPr>
          <w:rFonts w:hint="eastAsia"/>
        </w:rPr>
        <w:t>（项目名称）</w:t>
      </w:r>
      <w:r>
        <w:rPr>
          <w:rFonts w:hint="eastAsia" w:ascii="宋体" w:hAnsi="宋体" w:eastAsia="宋体" w:cs="宋体"/>
        </w:rPr>
        <w:t>竞投</w:t>
      </w:r>
      <w:bookmarkEnd w:id="72"/>
      <w:bookmarkEnd w:id="73"/>
      <w:bookmarkEnd w:id="74"/>
      <w:bookmarkEnd w:id="75"/>
      <w:r>
        <w:rPr>
          <w:rFonts w:hint="eastAsia" w:ascii="宋体" w:hAnsi="宋体" w:eastAsia="宋体" w:cs="宋体"/>
        </w:rPr>
        <w:t>评审委员会</w:t>
      </w:r>
    </w:p>
    <w:p>
      <w:pPr>
        <w:spacing w:line="480" w:lineRule="exact"/>
      </w:pPr>
      <w:r>
        <w:rPr>
          <w:rFonts w:hint="eastAsia"/>
        </w:rPr>
        <w:t>（经评审委员会授权的建设单位（项目需求单位）代表签字或建设单位（项目需求单位）加盖单位章）</w:t>
      </w:r>
    </w:p>
    <w:p>
      <w:pPr>
        <w:spacing w:line="480" w:lineRule="exact"/>
        <w:ind w:firstLine="4620" w:firstLineChars="2200"/>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360" w:lineRule="auto"/>
        <w:ind w:firstLine="5460" w:firstLineChars="2600"/>
        <w:rPr>
          <w:rFonts w:ascii="宋体" w:hAnsi="宋体"/>
          <w:szCs w:val="21"/>
        </w:rPr>
        <w:sectPr>
          <w:footerReference r:id="rId7" w:type="default"/>
          <w:footerReference r:id="rId8" w:type="even"/>
          <w:pgSz w:w="11906" w:h="16838"/>
          <w:pgMar w:top="1701" w:right="1106" w:bottom="1418" w:left="1418" w:header="851" w:footer="992" w:gutter="0"/>
          <w:cols w:space="720" w:num="1"/>
          <w:docGrid w:linePitch="312" w:charSpace="0"/>
        </w:sectPr>
      </w:pPr>
    </w:p>
    <w:p>
      <w:pPr>
        <w:pStyle w:val="4"/>
      </w:pPr>
      <w:bookmarkStart w:id="76" w:name="_Toc427572500"/>
      <w:bookmarkStart w:id="77" w:name="_Toc398537327"/>
      <w:bookmarkStart w:id="78" w:name="_Toc184635083"/>
      <w:bookmarkStart w:id="79" w:name="_Toc477771275"/>
      <w:bookmarkStart w:id="80" w:name="_Toc381691746"/>
      <w:r>
        <w:rPr>
          <w:rFonts w:hint="eastAsia"/>
        </w:rPr>
        <w:t>附表二：问题的澄清</w:t>
      </w:r>
      <w:bookmarkEnd w:id="76"/>
      <w:bookmarkEnd w:id="77"/>
      <w:bookmarkEnd w:id="78"/>
      <w:bookmarkEnd w:id="79"/>
      <w:bookmarkEnd w:id="80"/>
    </w:p>
    <w:p>
      <w:pPr>
        <w:spacing w:beforeLines="100" w:afterLines="100" w:line="480" w:lineRule="exact"/>
        <w:jc w:val="center"/>
        <w:rPr>
          <w:rFonts w:ascii="黑体" w:eastAsia="黑体"/>
          <w:sz w:val="28"/>
          <w:szCs w:val="28"/>
        </w:rPr>
      </w:pPr>
      <w:r>
        <w:rPr>
          <w:rFonts w:hint="eastAsia" w:ascii="黑体" w:eastAsia="黑体"/>
          <w:sz w:val="28"/>
          <w:szCs w:val="28"/>
        </w:rPr>
        <w:t>问题的澄清、说明或补正</w:t>
      </w:r>
    </w:p>
    <w:p>
      <w:pPr>
        <w:spacing w:beforeLines="100" w:afterLines="100" w:line="480" w:lineRule="exact"/>
        <w:jc w:val="center"/>
        <w:rPr>
          <w:rFonts w:ascii="黑体" w:eastAsia="黑体"/>
          <w:sz w:val="28"/>
          <w:szCs w:val="28"/>
        </w:rPr>
      </w:pPr>
    </w:p>
    <w:p>
      <w:pPr>
        <w:spacing w:line="400" w:lineRule="exact"/>
        <w:ind w:firstLine="5355" w:firstLineChars="2550"/>
        <w:rPr>
          <w:u w:val="single"/>
        </w:rPr>
      </w:pPr>
      <w:r>
        <w:rPr>
          <w:rFonts w:hint="eastAsia"/>
        </w:rPr>
        <w:t>编号：</w:t>
      </w:r>
      <w:r>
        <w:rPr>
          <w:rFonts w:hint="eastAsia"/>
          <w:u w:val="single"/>
        </w:rPr>
        <w:t xml:space="preserve">                  </w:t>
      </w:r>
    </w:p>
    <w:p>
      <w:pPr>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 xml:space="preserve"> (项目名称）竞投评审委员会：</w:t>
      </w:r>
    </w:p>
    <w:p>
      <w:pPr>
        <w:spacing w:line="360" w:lineRule="auto"/>
        <w:ind w:firstLine="420" w:firstLineChars="200"/>
        <w:rPr>
          <w:rFonts w:ascii="宋体" w:hAnsi="宋体"/>
          <w:szCs w:val="21"/>
        </w:rPr>
      </w:pPr>
      <w:r>
        <w:rPr>
          <w:rFonts w:hint="eastAsia" w:ascii="宋体" w:hAnsi="宋体"/>
          <w:szCs w:val="21"/>
        </w:rPr>
        <w:t>问题澄清通知（编号：</w:t>
      </w:r>
      <w:r>
        <w:rPr>
          <w:rFonts w:hint="eastAsia" w:ascii="宋体" w:hAnsi="宋体"/>
          <w:szCs w:val="21"/>
          <w:u w:val="single"/>
        </w:rPr>
        <w:t xml:space="preserve">                 </w:t>
      </w:r>
      <w:r>
        <w:rPr>
          <w:rFonts w:ascii="宋体" w:hAnsi="宋体"/>
          <w:szCs w:val="21"/>
        </w:rPr>
        <w:t>）</w:t>
      </w:r>
      <w:r>
        <w:rPr>
          <w:rFonts w:hint="eastAsia" w:ascii="宋体" w:hAnsi="宋体"/>
          <w:szCs w:val="21"/>
        </w:rPr>
        <w:t>已收悉，现澄清如下：</w:t>
      </w:r>
    </w:p>
    <w:p>
      <w:pPr>
        <w:spacing w:line="360" w:lineRule="auto"/>
        <w:ind w:firstLine="420" w:firstLineChars="200"/>
        <w:rPr>
          <w:rFonts w:ascii="宋体" w:hAnsi="宋体"/>
          <w:szCs w:val="21"/>
        </w:rPr>
      </w:pPr>
      <w:r>
        <w:rPr>
          <w:rFonts w:hint="eastAsia" w:ascii="宋体" w:hAnsi="宋体"/>
          <w:szCs w:val="21"/>
        </w:rPr>
        <w:t>1、</w:t>
      </w:r>
    </w:p>
    <w:p>
      <w:pPr>
        <w:spacing w:line="360" w:lineRule="auto"/>
        <w:ind w:firstLine="420" w:firstLineChars="200"/>
        <w:rPr>
          <w:rFonts w:ascii="宋体" w:hAnsi="宋体"/>
          <w:szCs w:val="21"/>
        </w:rPr>
      </w:pPr>
      <w:r>
        <w:rPr>
          <w:rFonts w:hint="eastAsia" w:ascii="宋体" w:hAnsi="宋体"/>
          <w:szCs w:val="21"/>
        </w:rPr>
        <w:t>2、</w:t>
      </w:r>
    </w:p>
    <w:p>
      <w:pPr>
        <w:spacing w:line="360" w:lineRule="auto"/>
        <w:ind w:firstLine="420" w:firstLineChars="200"/>
        <w:rPr>
          <w:rFonts w:ascii="宋体" w:hAnsi="宋体"/>
          <w:szCs w:val="21"/>
        </w:rPr>
      </w:pPr>
      <w:r>
        <w:rPr>
          <w:rFonts w:hint="eastAsia" w:ascii="宋体" w:hAnsi="宋体"/>
          <w:szCs w:val="21"/>
        </w:rPr>
        <w:t>……</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725" w:firstLineChars="2250"/>
        <w:rPr>
          <w:rFonts w:ascii="宋体" w:hAnsi="宋体"/>
          <w:szCs w:val="21"/>
        </w:rPr>
      </w:pPr>
      <w:r>
        <w:rPr>
          <w:rFonts w:hint="eastAsia" w:ascii="宋体" w:hAnsi="宋体"/>
          <w:szCs w:val="21"/>
        </w:rPr>
        <w:t>竞投单位：</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rPr>
      </w:pPr>
    </w:p>
    <w:p>
      <w:pPr>
        <w:spacing w:line="360" w:lineRule="auto"/>
        <w:ind w:firstLine="3675" w:firstLineChars="1750"/>
        <w:rPr>
          <w:rFonts w:ascii="宋体" w:hAnsi="宋体"/>
          <w:szCs w:val="21"/>
        </w:rPr>
      </w:pPr>
      <w:r>
        <w:rPr>
          <w:rFonts w:hint="eastAsia" w:ascii="宋体" w:hAnsi="宋体"/>
          <w:szCs w:val="21"/>
        </w:rPr>
        <w:t>法定代表人或其委托的授权代理人：</w:t>
      </w:r>
      <w:r>
        <w:rPr>
          <w:rFonts w:hint="eastAsia" w:ascii="宋体" w:hAnsi="宋体"/>
          <w:szCs w:val="21"/>
          <w:u w:val="single"/>
        </w:rPr>
        <w:t xml:space="preserve">              </w:t>
      </w:r>
      <w:r>
        <w:rPr>
          <w:rFonts w:hint="eastAsia" w:ascii="宋体" w:hAnsi="宋体"/>
          <w:szCs w:val="21"/>
        </w:rPr>
        <w:t>（签字）</w:t>
      </w:r>
    </w:p>
    <w:p>
      <w:pPr>
        <w:spacing w:line="360" w:lineRule="auto"/>
        <w:ind w:firstLine="5145" w:firstLineChars="2450"/>
        <w:rPr>
          <w:rFonts w:ascii="宋体" w:hAnsi="宋体"/>
          <w:szCs w:val="21"/>
          <w:u w:val="single"/>
        </w:rPr>
      </w:pPr>
    </w:p>
    <w:p>
      <w:pPr>
        <w:spacing w:line="360" w:lineRule="auto"/>
        <w:ind w:firstLine="5145" w:firstLineChars="24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Cs w:val="21"/>
        </w:rPr>
        <w:sectPr>
          <w:pgSz w:w="11906" w:h="16838"/>
          <w:pgMar w:top="1701" w:right="1418" w:bottom="1418" w:left="1418" w:header="851" w:footer="992" w:gutter="0"/>
          <w:cols w:space="720" w:num="1"/>
          <w:docGrid w:linePitch="312" w:charSpace="0"/>
        </w:sectPr>
      </w:pPr>
    </w:p>
    <w:p/>
    <w:p>
      <w:pPr>
        <w:pStyle w:val="3"/>
        <w:jc w:val="center"/>
        <w:rPr>
          <w:szCs w:val="32"/>
        </w:rPr>
      </w:pPr>
      <w:bookmarkStart w:id="81" w:name="_Toc477771276"/>
      <w:bookmarkStart w:id="82" w:name="_Toc381691750"/>
      <w:bookmarkStart w:id="83" w:name="_Toc374523629"/>
      <w:r>
        <w:rPr>
          <w:rFonts w:hint="eastAsia"/>
          <w:szCs w:val="32"/>
        </w:rPr>
        <w:t>第三章 评审办法（经评审的最低竞投价法）</w:t>
      </w:r>
      <w:bookmarkEnd w:id="81"/>
      <w:bookmarkEnd w:id="82"/>
      <w:bookmarkEnd w:id="83"/>
    </w:p>
    <w:p>
      <w:pPr>
        <w:pStyle w:val="4"/>
        <w:jc w:val="center"/>
      </w:pPr>
      <w:bookmarkStart w:id="84" w:name="_Toc398537332"/>
      <w:bookmarkStart w:id="85" w:name="_Toc374523630"/>
      <w:bookmarkStart w:id="86" w:name="_Toc381691751"/>
      <w:bookmarkStart w:id="87" w:name="_Toc184635088"/>
      <w:bookmarkStart w:id="88" w:name="_Toc427572505"/>
      <w:bookmarkStart w:id="89" w:name="_Toc477771277"/>
      <w:r>
        <w:rPr>
          <w:rFonts w:hint="eastAsia"/>
        </w:rPr>
        <w:t>评审办法前附表</w:t>
      </w:r>
      <w:bookmarkEnd w:id="84"/>
      <w:bookmarkEnd w:id="85"/>
      <w:bookmarkEnd w:id="86"/>
      <w:bookmarkEnd w:id="87"/>
      <w:bookmarkEnd w:id="88"/>
      <w:bookmarkEnd w:id="89"/>
    </w:p>
    <w:tbl>
      <w:tblPr>
        <w:tblStyle w:val="11"/>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252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00" w:type="dxa"/>
            <w:gridSpan w:val="2"/>
            <w:vAlign w:val="center"/>
          </w:tcPr>
          <w:p>
            <w:pPr>
              <w:jc w:val="center"/>
            </w:pPr>
            <w:r>
              <w:rPr>
                <w:rFonts w:hint="eastAsia" w:ascii="宋体" w:hAnsi="宋体"/>
                <w:szCs w:val="21"/>
              </w:rPr>
              <w:t>条款号</w:t>
            </w:r>
          </w:p>
        </w:tc>
        <w:tc>
          <w:tcPr>
            <w:tcW w:w="2520" w:type="dxa"/>
            <w:vAlign w:val="center"/>
          </w:tcPr>
          <w:p>
            <w:pPr>
              <w:jc w:val="center"/>
            </w:pPr>
            <w:r>
              <w:rPr>
                <w:rFonts w:hint="eastAsia" w:ascii="宋体" w:hAnsi="宋体"/>
                <w:szCs w:val="21"/>
              </w:rPr>
              <w:t>评审因素</w:t>
            </w:r>
          </w:p>
        </w:tc>
        <w:tc>
          <w:tcPr>
            <w:tcW w:w="5760" w:type="dxa"/>
            <w:vAlign w:val="center"/>
          </w:tcPr>
          <w:p>
            <w:pPr>
              <w:jc w:val="center"/>
            </w:pPr>
            <w:r>
              <w:rPr>
                <w:rFonts w:hint="eastAsia" w:ascii="宋体" w:hAnsi="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restart"/>
            <w:vAlign w:val="center"/>
          </w:tcPr>
          <w:p>
            <w:pPr>
              <w:jc w:val="center"/>
            </w:pPr>
            <w:r>
              <w:rPr>
                <w:rFonts w:hint="eastAsia"/>
              </w:rPr>
              <w:t>2.1.1</w:t>
            </w:r>
          </w:p>
        </w:tc>
        <w:tc>
          <w:tcPr>
            <w:tcW w:w="1080" w:type="dxa"/>
            <w:vMerge w:val="restart"/>
            <w:vAlign w:val="center"/>
          </w:tcPr>
          <w:p>
            <w:pPr>
              <w:spacing w:line="360" w:lineRule="auto"/>
              <w:rPr>
                <w:rFonts w:ascii="宋体" w:hAnsi="宋体"/>
                <w:szCs w:val="21"/>
              </w:rPr>
            </w:pPr>
            <w:r>
              <w:rPr>
                <w:rFonts w:hint="eastAsia" w:ascii="宋体" w:hAnsi="宋体"/>
                <w:szCs w:val="21"/>
              </w:rPr>
              <w:t>资格评审标准</w:t>
            </w:r>
          </w:p>
          <w:p>
            <w:pPr>
              <w:jc w:val="center"/>
            </w:pPr>
          </w:p>
        </w:tc>
        <w:tc>
          <w:tcPr>
            <w:tcW w:w="2520" w:type="dxa"/>
          </w:tcPr>
          <w:p>
            <w:pPr>
              <w:spacing w:line="360" w:lineRule="auto"/>
              <w:ind w:firstLine="420" w:firstLineChars="200"/>
            </w:pPr>
            <w:r>
              <w:rPr>
                <w:rFonts w:hint="eastAsia" w:ascii="宋体" w:hAnsi="宋体"/>
                <w:szCs w:val="21"/>
              </w:rPr>
              <w:t>营业执照</w:t>
            </w:r>
          </w:p>
        </w:tc>
        <w:tc>
          <w:tcPr>
            <w:tcW w:w="5760" w:type="dxa"/>
          </w:tcPr>
          <w:p>
            <w:pPr>
              <w:spacing w:line="360" w:lineRule="auto"/>
            </w:pPr>
            <w:r>
              <w:rPr>
                <w:rFonts w:hint="eastAsia" w:ascii="宋体" w:hAnsi="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continue"/>
            <w:vAlign w:val="center"/>
          </w:tcPr>
          <w:p>
            <w:pPr>
              <w:jc w:val="center"/>
            </w:pPr>
          </w:p>
        </w:tc>
        <w:tc>
          <w:tcPr>
            <w:tcW w:w="1080" w:type="dxa"/>
            <w:vMerge w:val="continue"/>
            <w:vAlign w:val="center"/>
          </w:tcPr>
          <w:p>
            <w:pPr>
              <w:spacing w:line="360" w:lineRule="auto"/>
              <w:rPr>
                <w:rFonts w:ascii="宋体" w:hAnsi="宋体"/>
                <w:szCs w:val="21"/>
              </w:rPr>
            </w:pPr>
          </w:p>
        </w:tc>
        <w:tc>
          <w:tcPr>
            <w:tcW w:w="2520" w:type="dxa"/>
          </w:tcPr>
          <w:p>
            <w:pPr>
              <w:spacing w:line="360" w:lineRule="auto"/>
              <w:ind w:firstLine="420" w:firstLineChars="200"/>
            </w:pPr>
            <w:r>
              <w:rPr>
                <w:rFonts w:hint="eastAsia" w:ascii="宋体" w:hAnsi="宋体"/>
                <w:szCs w:val="21"/>
              </w:rPr>
              <w:t>安全生产许可证</w:t>
            </w:r>
          </w:p>
        </w:tc>
        <w:tc>
          <w:tcPr>
            <w:tcW w:w="5760" w:type="dxa"/>
          </w:tcPr>
          <w:p>
            <w:pPr>
              <w:spacing w:line="360" w:lineRule="auto"/>
            </w:pPr>
            <w:r>
              <w:rPr>
                <w:rFonts w:hint="eastAsia" w:ascii="宋体" w:hAnsi="宋体"/>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20" w:type="dxa"/>
            <w:vMerge w:val="continue"/>
            <w:vAlign w:val="center"/>
          </w:tcPr>
          <w:p>
            <w:pPr>
              <w:jc w:val="center"/>
            </w:pPr>
          </w:p>
        </w:tc>
        <w:tc>
          <w:tcPr>
            <w:tcW w:w="1080" w:type="dxa"/>
            <w:vMerge w:val="continue"/>
            <w:vAlign w:val="center"/>
          </w:tcPr>
          <w:p>
            <w:pPr>
              <w:spacing w:line="360" w:lineRule="auto"/>
              <w:rPr>
                <w:rFonts w:ascii="宋体" w:hAnsi="宋体"/>
                <w:szCs w:val="21"/>
              </w:rPr>
            </w:pPr>
          </w:p>
        </w:tc>
        <w:tc>
          <w:tcPr>
            <w:tcW w:w="2520" w:type="dxa"/>
          </w:tcPr>
          <w:p>
            <w:pPr>
              <w:spacing w:line="360" w:lineRule="auto"/>
              <w:ind w:firstLine="420" w:firstLineChars="200"/>
            </w:pPr>
            <w:r>
              <w:rPr>
                <w:rFonts w:hint="eastAsia" w:ascii="宋体" w:hAnsi="宋体"/>
                <w:szCs w:val="21"/>
              </w:rPr>
              <w:t>资质等级</w:t>
            </w:r>
          </w:p>
        </w:tc>
        <w:tc>
          <w:tcPr>
            <w:tcW w:w="5760" w:type="dxa"/>
          </w:tcPr>
          <w:p>
            <w:pPr>
              <w:spacing w:line="360" w:lineRule="auto"/>
            </w:pPr>
            <w:r>
              <w:rPr>
                <w:rFonts w:hint="eastAsia" w:ascii="宋体" w:hAnsi="宋体"/>
                <w:szCs w:val="21"/>
              </w:rPr>
              <w:t>符合第二章“竞投单位须知”第1.4.1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0" w:type="dxa"/>
            <w:vMerge w:val="continue"/>
            <w:vAlign w:val="center"/>
          </w:tcPr>
          <w:p>
            <w:pPr>
              <w:jc w:val="center"/>
            </w:pPr>
          </w:p>
        </w:tc>
        <w:tc>
          <w:tcPr>
            <w:tcW w:w="1080" w:type="dxa"/>
            <w:vMerge w:val="continue"/>
            <w:vAlign w:val="center"/>
          </w:tcPr>
          <w:p>
            <w:pPr>
              <w:spacing w:line="360" w:lineRule="auto"/>
              <w:rPr>
                <w:rFonts w:ascii="宋体" w:hAnsi="宋体"/>
                <w:szCs w:val="21"/>
              </w:rPr>
            </w:pPr>
          </w:p>
        </w:tc>
        <w:tc>
          <w:tcPr>
            <w:tcW w:w="2520" w:type="dxa"/>
          </w:tcPr>
          <w:p>
            <w:pPr>
              <w:spacing w:line="360" w:lineRule="auto"/>
              <w:ind w:firstLine="420" w:firstLineChars="200"/>
            </w:pPr>
            <w:r>
              <w:rPr>
                <w:rFonts w:hint="eastAsia" w:ascii="宋体" w:hAnsi="宋体"/>
                <w:szCs w:val="21"/>
              </w:rPr>
              <w:t>项目经理</w:t>
            </w:r>
          </w:p>
        </w:tc>
        <w:tc>
          <w:tcPr>
            <w:tcW w:w="5760" w:type="dxa"/>
          </w:tcPr>
          <w:p>
            <w:pPr>
              <w:spacing w:line="360" w:lineRule="auto"/>
            </w:pPr>
            <w:r>
              <w:rPr>
                <w:rFonts w:hint="eastAsia" w:ascii="宋体" w:hAnsi="宋体"/>
                <w:szCs w:val="21"/>
              </w:rPr>
              <w:t>符合第二章“竞投单位须知”第1.4.1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restart"/>
            <w:vAlign w:val="center"/>
          </w:tcPr>
          <w:p>
            <w:pPr>
              <w:jc w:val="center"/>
            </w:pPr>
            <w:r>
              <w:rPr>
                <w:rFonts w:hint="eastAsia"/>
              </w:rPr>
              <w:t>2.1.2</w:t>
            </w:r>
          </w:p>
        </w:tc>
        <w:tc>
          <w:tcPr>
            <w:tcW w:w="1080" w:type="dxa"/>
            <w:vMerge w:val="restart"/>
            <w:vAlign w:val="center"/>
          </w:tcPr>
          <w:p>
            <w:pPr>
              <w:jc w:val="center"/>
            </w:pPr>
            <w:r>
              <w:rPr>
                <w:rFonts w:hint="eastAsia" w:ascii="宋体" w:hAnsi="宋体"/>
                <w:szCs w:val="21"/>
              </w:rPr>
              <w:t>形式评审标准</w:t>
            </w:r>
          </w:p>
        </w:tc>
        <w:tc>
          <w:tcPr>
            <w:tcW w:w="8280" w:type="dxa"/>
            <w:gridSpan w:val="2"/>
          </w:tcPr>
          <w:p>
            <w:pPr>
              <w:spacing w:line="360" w:lineRule="auto"/>
              <w:jc w:val="center"/>
            </w:pPr>
            <w:r>
              <w:rPr>
                <w:rFonts w:hint="eastAsia" w:ascii="宋体" w:hAnsi="宋体"/>
                <w:szCs w:val="21"/>
              </w:rPr>
              <w:t>经济竞投文件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continue"/>
            <w:vAlign w:val="center"/>
          </w:tcPr>
          <w:p>
            <w:pPr>
              <w:jc w:val="center"/>
            </w:pPr>
          </w:p>
        </w:tc>
        <w:tc>
          <w:tcPr>
            <w:tcW w:w="1080" w:type="dxa"/>
            <w:vMerge w:val="continue"/>
            <w:vAlign w:val="center"/>
          </w:tcPr>
          <w:p>
            <w:pPr>
              <w:jc w:val="center"/>
              <w:rPr>
                <w:rFonts w:ascii="宋体" w:hAnsi="宋体"/>
                <w:szCs w:val="21"/>
              </w:rPr>
            </w:pPr>
          </w:p>
        </w:tc>
        <w:tc>
          <w:tcPr>
            <w:tcW w:w="2520" w:type="dxa"/>
          </w:tcPr>
          <w:p>
            <w:pPr>
              <w:spacing w:line="360" w:lineRule="auto"/>
              <w:ind w:firstLine="420" w:firstLineChars="200"/>
            </w:pPr>
            <w:r>
              <w:rPr>
                <w:rFonts w:hint="eastAsia" w:ascii="宋体" w:hAnsi="宋体"/>
                <w:szCs w:val="21"/>
              </w:rPr>
              <w:t>报价唯一</w:t>
            </w:r>
          </w:p>
        </w:tc>
        <w:tc>
          <w:tcPr>
            <w:tcW w:w="5760" w:type="dxa"/>
          </w:tcPr>
          <w:p>
            <w:pPr>
              <w:spacing w:line="320" w:lineRule="exact"/>
              <w:jc w:val="left"/>
            </w:pPr>
            <w:r>
              <w:rPr>
                <w:rFonts w:hint="eastAsia" w:ascii="宋体" w:hAnsi="宋体"/>
                <w:szCs w:val="21"/>
              </w:rPr>
              <w:t>只能有一个有效报价（且签字盖章符合项目需求书要求）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0" w:type="dxa"/>
            <w:vMerge w:val="continue"/>
            <w:vAlign w:val="center"/>
          </w:tcPr>
          <w:p>
            <w:pPr>
              <w:jc w:val="center"/>
            </w:pPr>
          </w:p>
        </w:tc>
        <w:tc>
          <w:tcPr>
            <w:tcW w:w="1080" w:type="dxa"/>
            <w:vMerge w:val="continue"/>
            <w:vAlign w:val="center"/>
          </w:tcPr>
          <w:p>
            <w:pPr>
              <w:jc w:val="center"/>
              <w:rPr>
                <w:rFonts w:ascii="宋体" w:hAnsi="宋体"/>
                <w:szCs w:val="21"/>
              </w:rPr>
            </w:pPr>
          </w:p>
        </w:tc>
        <w:tc>
          <w:tcPr>
            <w:tcW w:w="2520" w:type="dxa"/>
          </w:tcPr>
          <w:p>
            <w:pPr>
              <w:spacing w:line="360" w:lineRule="auto"/>
              <w:ind w:firstLine="420" w:firstLineChars="200"/>
            </w:pPr>
            <w:r>
              <w:rPr>
                <w:rFonts w:hint="eastAsia" w:ascii="宋体" w:hAnsi="宋体"/>
                <w:szCs w:val="21"/>
              </w:rPr>
              <w:t>竞投文件格式</w:t>
            </w:r>
          </w:p>
        </w:tc>
        <w:tc>
          <w:tcPr>
            <w:tcW w:w="5760" w:type="dxa"/>
          </w:tcPr>
          <w:p>
            <w:pPr>
              <w:spacing w:line="360" w:lineRule="auto"/>
              <w:jc w:val="left"/>
            </w:pPr>
            <w:r>
              <w:rPr>
                <w:rFonts w:hint="eastAsia" w:ascii="宋体" w:hAnsi="宋体"/>
                <w:szCs w:val="21"/>
              </w:rPr>
              <w:t>符合第八章“竞投文件格式”的要求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20" w:type="dxa"/>
            <w:vMerge w:val="continue"/>
          </w:tcPr>
          <w:p/>
        </w:tc>
        <w:tc>
          <w:tcPr>
            <w:tcW w:w="1080" w:type="dxa"/>
            <w:vMerge w:val="continue"/>
          </w:tcPr>
          <w:p>
            <w:pPr>
              <w:rPr>
                <w:rFonts w:ascii="宋体" w:hAnsi="宋体"/>
                <w:szCs w:val="21"/>
              </w:rPr>
            </w:pPr>
          </w:p>
        </w:tc>
        <w:tc>
          <w:tcPr>
            <w:tcW w:w="8280" w:type="dxa"/>
            <w:gridSpan w:val="2"/>
          </w:tcPr>
          <w:p>
            <w:pPr>
              <w:spacing w:line="360" w:lineRule="auto"/>
              <w:jc w:val="center"/>
              <w:rPr>
                <w:rFonts w:ascii="宋体" w:hAnsi="宋体"/>
                <w:szCs w:val="21"/>
              </w:rPr>
            </w:pPr>
            <w:r>
              <w:rPr>
                <w:rFonts w:hint="eastAsia"/>
              </w:rPr>
              <w:t>基本资料竞投文件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20" w:type="dxa"/>
            <w:vMerge w:val="continue"/>
          </w:tcPr>
          <w:p/>
        </w:tc>
        <w:tc>
          <w:tcPr>
            <w:tcW w:w="1080" w:type="dxa"/>
            <w:vMerge w:val="continue"/>
          </w:tcPr>
          <w:p>
            <w:pPr>
              <w:rPr>
                <w:rFonts w:ascii="宋体" w:hAnsi="宋体"/>
                <w:szCs w:val="21"/>
              </w:rPr>
            </w:pPr>
          </w:p>
        </w:tc>
        <w:tc>
          <w:tcPr>
            <w:tcW w:w="2520" w:type="dxa"/>
          </w:tcPr>
          <w:p>
            <w:pPr>
              <w:spacing w:line="360" w:lineRule="auto"/>
              <w:ind w:firstLine="420" w:firstLineChars="200"/>
            </w:pPr>
            <w:r>
              <w:rPr>
                <w:rFonts w:hint="eastAsia" w:ascii="宋体" w:hAnsi="宋体"/>
                <w:szCs w:val="21"/>
              </w:rPr>
              <w:t>竞投单位名称</w:t>
            </w:r>
          </w:p>
        </w:tc>
        <w:tc>
          <w:tcPr>
            <w:tcW w:w="5760" w:type="dxa"/>
          </w:tcPr>
          <w:p>
            <w:pPr>
              <w:spacing w:line="360" w:lineRule="auto"/>
            </w:pPr>
            <w:r>
              <w:rPr>
                <w:rFonts w:hint="eastAsia" w:ascii="宋体" w:hAnsi="宋体"/>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20" w:type="dxa"/>
            <w:vMerge w:val="continue"/>
          </w:tcPr>
          <w:p/>
        </w:tc>
        <w:tc>
          <w:tcPr>
            <w:tcW w:w="1080" w:type="dxa"/>
            <w:vMerge w:val="continue"/>
          </w:tcPr>
          <w:p>
            <w:pPr>
              <w:rPr>
                <w:rFonts w:ascii="宋体" w:hAnsi="宋体"/>
                <w:szCs w:val="21"/>
              </w:rPr>
            </w:pPr>
          </w:p>
        </w:tc>
        <w:tc>
          <w:tcPr>
            <w:tcW w:w="2520" w:type="dxa"/>
          </w:tcPr>
          <w:p>
            <w:pPr>
              <w:spacing w:line="360" w:lineRule="auto"/>
              <w:ind w:firstLine="420" w:firstLineChars="200"/>
              <w:rPr>
                <w:dstrike/>
              </w:rPr>
            </w:pPr>
            <w:r>
              <w:rPr>
                <w:rFonts w:hint="eastAsia" w:ascii="宋体" w:hAnsi="宋体"/>
                <w:szCs w:val="21"/>
              </w:rPr>
              <w:t>承诺书</w:t>
            </w:r>
          </w:p>
        </w:tc>
        <w:tc>
          <w:tcPr>
            <w:tcW w:w="5760" w:type="dxa"/>
          </w:tcPr>
          <w:p>
            <w:pPr>
              <w:spacing w:line="320" w:lineRule="exact"/>
              <w:jc w:val="left"/>
            </w:pPr>
            <w:r>
              <w:rPr>
                <w:rFonts w:hint="eastAsia" w:ascii="宋体" w:hAnsi="宋体"/>
                <w:szCs w:val="21"/>
              </w:rPr>
              <w:t>有法定代表人或其委托代理人签字及加盖单位章，内容符合项目需求书要求。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20" w:type="dxa"/>
            <w:vMerge w:val="continue"/>
          </w:tcPr>
          <w:p/>
        </w:tc>
        <w:tc>
          <w:tcPr>
            <w:tcW w:w="1080" w:type="dxa"/>
            <w:vMerge w:val="continue"/>
          </w:tcPr>
          <w:p>
            <w:pPr>
              <w:rPr>
                <w:rFonts w:ascii="宋体" w:hAnsi="宋体"/>
                <w:szCs w:val="21"/>
              </w:rPr>
            </w:pPr>
          </w:p>
        </w:tc>
        <w:tc>
          <w:tcPr>
            <w:tcW w:w="2520" w:type="dxa"/>
          </w:tcPr>
          <w:p>
            <w:pPr>
              <w:spacing w:line="360" w:lineRule="auto"/>
              <w:ind w:firstLine="420" w:firstLineChars="200"/>
            </w:pPr>
            <w:r>
              <w:rPr>
                <w:rFonts w:hint="eastAsia" w:ascii="宋体" w:hAnsi="宋体"/>
                <w:szCs w:val="21"/>
              </w:rPr>
              <w:t>竞投文件格式</w:t>
            </w:r>
          </w:p>
        </w:tc>
        <w:tc>
          <w:tcPr>
            <w:tcW w:w="5760" w:type="dxa"/>
          </w:tcPr>
          <w:p>
            <w:pPr>
              <w:spacing w:line="360" w:lineRule="auto"/>
              <w:jc w:val="left"/>
            </w:pPr>
            <w:r>
              <w:rPr>
                <w:rFonts w:hint="eastAsia" w:ascii="宋体" w:hAnsi="宋体"/>
                <w:szCs w:val="21"/>
              </w:rPr>
              <w:t>符合第八章“竞投文件格式”的要求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restart"/>
            <w:vAlign w:val="center"/>
          </w:tcPr>
          <w:p>
            <w:pPr>
              <w:jc w:val="center"/>
            </w:pPr>
            <w:r>
              <w:rPr>
                <w:rFonts w:hint="eastAsia"/>
              </w:rPr>
              <w:t>2.1.3</w:t>
            </w:r>
          </w:p>
          <w:p/>
          <w:p/>
          <w:p/>
          <w:p/>
        </w:tc>
        <w:tc>
          <w:tcPr>
            <w:tcW w:w="1080" w:type="dxa"/>
            <w:vMerge w:val="restart"/>
            <w:vAlign w:val="center"/>
          </w:tcPr>
          <w:p>
            <w:pPr>
              <w:spacing w:line="360" w:lineRule="auto"/>
              <w:rPr>
                <w:rFonts w:ascii="宋体" w:hAnsi="宋体"/>
                <w:szCs w:val="21"/>
              </w:rPr>
            </w:pPr>
            <w:r>
              <w:rPr>
                <w:rFonts w:hint="eastAsia" w:ascii="宋体" w:hAnsi="宋体"/>
                <w:szCs w:val="21"/>
              </w:rPr>
              <w:t>响应性评审标准</w:t>
            </w:r>
          </w:p>
          <w:p>
            <w:pPr>
              <w:jc w:val="center"/>
            </w:pPr>
          </w:p>
        </w:tc>
        <w:tc>
          <w:tcPr>
            <w:tcW w:w="8280" w:type="dxa"/>
            <w:gridSpan w:val="2"/>
          </w:tcPr>
          <w:p>
            <w:pPr>
              <w:spacing w:line="360" w:lineRule="auto"/>
              <w:jc w:val="center"/>
            </w:pPr>
            <w:r>
              <w:rPr>
                <w:rFonts w:hint="eastAsia" w:ascii="宋体" w:hAnsi="宋体"/>
                <w:szCs w:val="21"/>
              </w:rPr>
              <w:t>经济竞投文件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60" w:lineRule="auto"/>
              <w:ind w:firstLine="420" w:firstLineChars="200"/>
            </w:pPr>
            <w:r>
              <w:rPr>
                <w:rFonts w:hint="eastAsia" w:ascii="宋体" w:hAnsi="宋体"/>
                <w:szCs w:val="21"/>
              </w:rPr>
              <w:t>已标价工程量清单</w:t>
            </w:r>
          </w:p>
        </w:tc>
        <w:tc>
          <w:tcPr>
            <w:tcW w:w="5760" w:type="dxa"/>
          </w:tcPr>
          <w:p>
            <w:pPr>
              <w:spacing w:line="320" w:lineRule="exact"/>
            </w:pPr>
            <w:r>
              <w:rPr>
                <w:rFonts w:hint="eastAsia" w:ascii="宋体" w:hAnsi="宋体"/>
                <w:szCs w:val="21"/>
              </w:rPr>
              <w:t>符合第五章“工程量清单及工程量清单计价”给出的范围、数量及范围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rPr>
                <w:rFonts w:ascii="宋体" w:hAnsi="宋体"/>
                <w:szCs w:val="21"/>
              </w:rPr>
            </w:pPr>
            <w:r>
              <w:rPr>
                <w:rFonts w:hint="eastAsia" w:ascii="宋体" w:hAnsi="宋体"/>
                <w:szCs w:val="21"/>
              </w:rPr>
              <w:t>竞投报价是否超出上限值</w:t>
            </w:r>
          </w:p>
        </w:tc>
        <w:tc>
          <w:tcPr>
            <w:tcW w:w="5760" w:type="dxa"/>
          </w:tcPr>
          <w:p>
            <w:pPr>
              <w:spacing w:line="360" w:lineRule="auto"/>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pPr>
            <w:r>
              <w:rPr>
                <w:rFonts w:hint="eastAsia"/>
              </w:rPr>
              <w:t>绿色施工安全防护措施费是否在报价总表中单列或是否低于竞投控制价中绿色施工安全防护措施费</w:t>
            </w:r>
            <w:r>
              <w:rPr>
                <w:rFonts w:hint="eastAsia"/>
                <w:b/>
              </w:rPr>
              <w:t>总额</w:t>
            </w:r>
            <w:r>
              <w:rPr>
                <w:rFonts w:hint="eastAsia"/>
              </w:rPr>
              <w:t>的。</w:t>
            </w:r>
          </w:p>
        </w:tc>
        <w:tc>
          <w:tcPr>
            <w:tcW w:w="5760" w:type="dxa"/>
          </w:tcPr>
          <w:p>
            <w:pPr>
              <w:spacing w:line="360" w:lineRule="auto"/>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pPr>
            <w:r>
              <w:rPr>
                <w:rFonts w:hint="eastAsia" w:ascii="宋体" w:hAnsi="宋体"/>
                <w:szCs w:val="21"/>
              </w:rPr>
              <w:t>竞投报价中的分部分项工程量清单的项目编码项目、项目名称、项目特征、计量单位、工程量与建设单位（项目需求单位）提供的是否一致的</w:t>
            </w:r>
            <w:r>
              <w:rPr>
                <w:rFonts w:hint="eastAsia"/>
                <w:szCs w:val="21"/>
              </w:rPr>
              <w:t>。</w:t>
            </w:r>
          </w:p>
        </w:tc>
        <w:tc>
          <w:tcPr>
            <w:tcW w:w="5760" w:type="dxa"/>
          </w:tcPr>
          <w:p>
            <w:pPr>
              <w:spacing w:line="360" w:lineRule="auto"/>
              <w:rPr>
                <w:rFonts w:ascii="宋体" w:hAnsi="宋体"/>
                <w:szCs w:val="21"/>
              </w:rPr>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pPr>
            <w:r>
              <w:rPr>
                <w:rFonts w:hint="eastAsia"/>
                <w:szCs w:val="21"/>
              </w:rPr>
              <w:t>规费和税金是否按国家或省、市相关部门的规定计价。</w:t>
            </w:r>
          </w:p>
        </w:tc>
        <w:tc>
          <w:tcPr>
            <w:tcW w:w="5760" w:type="dxa"/>
          </w:tcPr>
          <w:p>
            <w:pPr>
              <w:spacing w:line="360" w:lineRule="auto"/>
              <w:rPr>
                <w:rFonts w:ascii="宋体" w:hAnsi="宋体"/>
                <w:szCs w:val="21"/>
              </w:rPr>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pPr>
            <w:r>
              <w:rPr>
                <w:rFonts w:hint="eastAsia"/>
                <w:szCs w:val="21"/>
              </w:rPr>
              <w:t>竞投报价中的竞投总价或各个单项工程总价是否通过直接乘以系数或直接增减金额来调整价格。</w:t>
            </w:r>
          </w:p>
        </w:tc>
        <w:tc>
          <w:tcPr>
            <w:tcW w:w="5760" w:type="dxa"/>
          </w:tcPr>
          <w:p>
            <w:pPr>
              <w:spacing w:line="360" w:lineRule="auto"/>
              <w:rPr>
                <w:rFonts w:ascii="宋体" w:hAnsi="宋体"/>
                <w:szCs w:val="21"/>
              </w:rPr>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pPr>
            <w:r>
              <w:rPr>
                <w:rFonts w:hint="eastAsia"/>
                <w:szCs w:val="21"/>
              </w:rPr>
              <w:t>竞投报价的明细程度是否至综合单价分析表。</w:t>
            </w:r>
          </w:p>
        </w:tc>
        <w:tc>
          <w:tcPr>
            <w:tcW w:w="5760" w:type="dxa"/>
          </w:tcPr>
          <w:p>
            <w:pPr>
              <w:spacing w:line="360" w:lineRule="auto"/>
              <w:rPr>
                <w:rFonts w:ascii="宋体" w:hAnsi="宋体"/>
                <w:szCs w:val="21"/>
              </w:rPr>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pPr>
            <w:r>
              <w:rPr>
                <w:rFonts w:hint="eastAsia"/>
                <w:szCs w:val="21"/>
              </w:rPr>
              <w:t>竞投报价是否包括材料价格明细表或按项目需求书的要求提供相应的材料价格表。</w:t>
            </w:r>
          </w:p>
        </w:tc>
        <w:tc>
          <w:tcPr>
            <w:tcW w:w="5760" w:type="dxa"/>
          </w:tcPr>
          <w:p>
            <w:pPr>
              <w:spacing w:line="360" w:lineRule="auto"/>
              <w:rPr>
                <w:rFonts w:ascii="宋体" w:hAnsi="宋体"/>
                <w:szCs w:val="21"/>
              </w:rPr>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pPr>
            <w:r>
              <w:rPr>
                <w:rFonts w:hint="eastAsia" w:ascii="宋体" w:hAnsi="宋体"/>
                <w:szCs w:val="21"/>
              </w:rPr>
              <w:t>工程量综合单价分析表的综合单价是否乘以系数来调整价格的。</w:t>
            </w:r>
          </w:p>
        </w:tc>
        <w:tc>
          <w:tcPr>
            <w:tcW w:w="5760" w:type="dxa"/>
          </w:tcPr>
          <w:p>
            <w:pPr>
              <w:spacing w:line="360" w:lineRule="auto"/>
              <w:rPr>
                <w:rFonts w:ascii="宋体" w:hAnsi="宋体"/>
                <w:szCs w:val="21"/>
              </w:rPr>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pPr>
            <w:r>
              <w:rPr>
                <w:rFonts w:hint="eastAsia" w:ascii="宋体" w:hAnsi="宋体"/>
                <w:szCs w:val="21"/>
              </w:rPr>
              <w:t>工程量综合单价分析表的人工费或材料费或机械费乘以系数调整价格的。</w:t>
            </w:r>
          </w:p>
        </w:tc>
        <w:tc>
          <w:tcPr>
            <w:tcW w:w="5760" w:type="dxa"/>
          </w:tcPr>
          <w:p>
            <w:pPr>
              <w:spacing w:line="360" w:lineRule="auto"/>
              <w:rPr>
                <w:rFonts w:ascii="宋体" w:hAnsi="宋体"/>
                <w:szCs w:val="21"/>
              </w:rPr>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rPr>
                <w:rFonts w:ascii="宋体" w:hAnsi="宋体"/>
                <w:szCs w:val="21"/>
              </w:rPr>
            </w:pPr>
            <w:r>
              <w:rPr>
                <w:rFonts w:hint="eastAsia" w:ascii="宋体" w:hAnsi="宋体"/>
                <w:szCs w:val="21"/>
              </w:rPr>
              <w:t>工程量综合单价分析表的总价是否与人工费、材料费、机械费、管理费、利润之和相差较大的。（因计算过程由于小数位四舍五入导致的误差除外）。</w:t>
            </w:r>
          </w:p>
        </w:tc>
        <w:tc>
          <w:tcPr>
            <w:tcW w:w="5760" w:type="dxa"/>
          </w:tcPr>
          <w:p>
            <w:pPr>
              <w:spacing w:line="360" w:lineRule="auto"/>
              <w:rPr>
                <w:rFonts w:ascii="宋体" w:hAnsi="宋体"/>
                <w:szCs w:val="21"/>
              </w:rPr>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20" w:type="dxa"/>
            <w:vMerge w:val="continue"/>
            <w:vAlign w:val="center"/>
          </w:tcPr>
          <w:p/>
        </w:tc>
        <w:tc>
          <w:tcPr>
            <w:tcW w:w="1080" w:type="dxa"/>
            <w:vMerge w:val="continue"/>
            <w:vAlign w:val="center"/>
          </w:tcPr>
          <w:p>
            <w:pPr>
              <w:spacing w:line="360" w:lineRule="auto"/>
              <w:rPr>
                <w:rFonts w:ascii="宋体" w:hAnsi="宋体"/>
                <w:szCs w:val="21"/>
              </w:rPr>
            </w:pPr>
          </w:p>
        </w:tc>
        <w:tc>
          <w:tcPr>
            <w:tcW w:w="2520" w:type="dxa"/>
          </w:tcPr>
          <w:p>
            <w:pPr>
              <w:spacing w:line="320" w:lineRule="exact"/>
              <w:ind w:firstLine="420" w:firstLineChars="200"/>
              <w:rPr>
                <w:rFonts w:ascii="宋体" w:hAnsi="宋体"/>
                <w:szCs w:val="21"/>
              </w:rPr>
            </w:pPr>
            <w:r>
              <w:rPr>
                <w:rFonts w:hint="eastAsia" w:ascii="宋体" w:hAnsi="宋体"/>
                <w:szCs w:val="21"/>
              </w:rPr>
              <w:t>暂列金额、材料暂估单价、专业工程暂估价是否未按照竞投控制价中公布的相应金额报价的。</w:t>
            </w:r>
          </w:p>
        </w:tc>
        <w:tc>
          <w:tcPr>
            <w:tcW w:w="5760" w:type="dxa"/>
          </w:tcPr>
          <w:p>
            <w:pPr>
              <w:spacing w:line="360" w:lineRule="auto"/>
              <w:rPr>
                <w:rFonts w:ascii="宋体" w:hAnsi="宋体"/>
                <w:szCs w:val="21"/>
              </w:rPr>
            </w:pPr>
            <w:r>
              <w:rPr>
                <w:rFonts w:hint="eastAsia" w:ascii="宋体" w:hAnsi="宋体"/>
                <w:szCs w:val="21"/>
              </w:rPr>
              <w:t>符合第五章规定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vMerge w:val="continue"/>
          </w:tcPr>
          <w:p/>
        </w:tc>
        <w:tc>
          <w:tcPr>
            <w:tcW w:w="1080" w:type="dxa"/>
            <w:vMerge w:val="continue"/>
          </w:tcPr>
          <w:p/>
        </w:tc>
        <w:tc>
          <w:tcPr>
            <w:tcW w:w="8280" w:type="dxa"/>
            <w:gridSpan w:val="2"/>
          </w:tcPr>
          <w:p>
            <w:pPr>
              <w:spacing w:line="360" w:lineRule="auto"/>
              <w:jc w:val="center"/>
              <w:rPr>
                <w:rFonts w:ascii="宋体" w:hAnsi="宋体"/>
                <w:szCs w:val="21"/>
              </w:rPr>
            </w:pPr>
            <w:r>
              <w:rPr>
                <w:rFonts w:hint="eastAsia"/>
              </w:rPr>
              <w:t>基本资料竞投文件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vMerge w:val="continue"/>
          </w:tcPr>
          <w:p/>
        </w:tc>
        <w:tc>
          <w:tcPr>
            <w:tcW w:w="1080" w:type="dxa"/>
            <w:vMerge w:val="continue"/>
          </w:tcPr>
          <w:p/>
        </w:tc>
        <w:tc>
          <w:tcPr>
            <w:tcW w:w="2520" w:type="dxa"/>
          </w:tcPr>
          <w:p>
            <w:pPr>
              <w:spacing w:line="360" w:lineRule="auto"/>
              <w:ind w:firstLine="420" w:firstLineChars="200"/>
            </w:pPr>
            <w:r>
              <w:rPr>
                <w:rFonts w:hint="eastAsia" w:ascii="宋体" w:hAnsi="宋体"/>
                <w:szCs w:val="21"/>
              </w:rPr>
              <w:t>竞投内容</w:t>
            </w:r>
          </w:p>
        </w:tc>
        <w:tc>
          <w:tcPr>
            <w:tcW w:w="5760" w:type="dxa"/>
          </w:tcPr>
          <w:p>
            <w:pPr>
              <w:spacing w:line="360" w:lineRule="auto"/>
            </w:pPr>
            <w:r>
              <w:rPr>
                <w:rFonts w:hint="eastAsia" w:ascii="宋体" w:hAnsi="宋体"/>
                <w:szCs w:val="21"/>
              </w:rPr>
              <w:t>符合第二章“竞投单位须知”第1.3.1项规定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vMerge w:val="continue"/>
          </w:tcPr>
          <w:p/>
        </w:tc>
        <w:tc>
          <w:tcPr>
            <w:tcW w:w="1080" w:type="dxa"/>
            <w:vMerge w:val="continue"/>
          </w:tcPr>
          <w:p/>
        </w:tc>
        <w:tc>
          <w:tcPr>
            <w:tcW w:w="2520" w:type="dxa"/>
          </w:tcPr>
          <w:p>
            <w:pPr>
              <w:spacing w:line="360" w:lineRule="auto"/>
              <w:ind w:firstLine="420" w:firstLineChars="200"/>
            </w:pPr>
            <w:r>
              <w:rPr>
                <w:rFonts w:hint="eastAsia" w:ascii="宋体" w:hAnsi="宋体"/>
                <w:szCs w:val="21"/>
              </w:rPr>
              <w:t>工期</w:t>
            </w:r>
          </w:p>
        </w:tc>
        <w:tc>
          <w:tcPr>
            <w:tcW w:w="5760" w:type="dxa"/>
          </w:tcPr>
          <w:p>
            <w:pPr>
              <w:spacing w:line="360" w:lineRule="auto"/>
            </w:pPr>
            <w:r>
              <w:rPr>
                <w:rFonts w:hint="eastAsia" w:ascii="宋体" w:hAnsi="宋体"/>
                <w:szCs w:val="21"/>
              </w:rPr>
              <w:t>符合第二章“竞投单位须知”第1.3.2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vMerge w:val="continue"/>
          </w:tcPr>
          <w:p/>
        </w:tc>
        <w:tc>
          <w:tcPr>
            <w:tcW w:w="1080" w:type="dxa"/>
            <w:vMerge w:val="continue"/>
          </w:tcPr>
          <w:p/>
        </w:tc>
        <w:tc>
          <w:tcPr>
            <w:tcW w:w="2520" w:type="dxa"/>
          </w:tcPr>
          <w:p>
            <w:pPr>
              <w:spacing w:line="360" w:lineRule="auto"/>
              <w:ind w:firstLine="420" w:firstLineChars="200"/>
            </w:pPr>
            <w:r>
              <w:rPr>
                <w:rFonts w:hint="eastAsia" w:ascii="宋体" w:hAnsi="宋体"/>
                <w:szCs w:val="21"/>
              </w:rPr>
              <w:t>工程质量</w:t>
            </w:r>
          </w:p>
        </w:tc>
        <w:tc>
          <w:tcPr>
            <w:tcW w:w="5760" w:type="dxa"/>
          </w:tcPr>
          <w:p>
            <w:pPr>
              <w:spacing w:line="360" w:lineRule="auto"/>
            </w:pPr>
            <w:r>
              <w:rPr>
                <w:rFonts w:hint="eastAsia" w:ascii="宋体" w:hAnsi="宋体"/>
                <w:szCs w:val="21"/>
              </w:rPr>
              <w:t>符合第二章“竞投单位须知”第1.3.3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vMerge w:val="continue"/>
          </w:tcPr>
          <w:p/>
        </w:tc>
        <w:tc>
          <w:tcPr>
            <w:tcW w:w="1080" w:type="dxa"/>
            <w:vMerge w:val="continue"/>
          </w:tcPr>
          <w:p/>
        </w:tc>
        <w:tc>
          <w:tcPr>
            <w:tcW w:w="2520" w:type="dxa"/>
          </w:tcPr>
          <w:p>
            <w:pPr>
              <w:spacing w:line="360" w:lineRule="auto"/>
              <w:ind w:firstLine="420" w:firstLineChars="200"/>
            </w:pPr>
            <w:r>
              <w:rPr>
                <w:rFonts w:hint="eastAsia" w:ascii="宋体" w:hAnsi="宋体"/>
                <w:szCs w:val="21"/>
              </w:rPr>
              <w:t>竞投有效期</w:t>
            </w:r>
          </w:p>
        </w:tc>
        <w:tc>
          <w:tcPr>
            <w:tcW w:w="5760" w:type="dxa"/>
          </w:tcPr>
          <w:p>
            <w:pPr>
              <w:spacing w:line="360" w:lineRule="auto"/>
            </w:pPr>
            <w:r>
              <w:rPr>
                <w:rFonts w:hint="eastAsia" w:ascii="宋体" w:hAnsi="宋体"/>
                <w:szCs w:val="21"/>
              </w:rPr>
              <w:t>符合第二章“竞投单位须知”第3.3.1项规定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vMerge w:val="continue"/>
          </w:tcPr>
          <w:p/>
        </w:tc>
        <w:tc>
          <w:tcPr>
            <w:tcW w:w="1080" w:type="dxa"/>
            <w:vMerge w:val="continue"/>
          </w:tcPr>
          <w:p/>
        </w:tc>
        <w:tc>
          <w:tcPr>
            <w:tcW w:w="2520" w:type="dxa"/>
          </w:tcPr>
          <w:p>
            <w:pPr>
              <w:spacing w:line="360" w:lineRule="auto"/>
              <w:ind w:firstLine="420" w:firstLineChars="200"/>
            </w:pPr>
            <w:r>
              <w:rPr>
                <w:rFonts w:hint="eastAsia" w:ascii="宋体" w:hAnsi="宋体"/>
                <w:szCs w:val="21"/>
              </w:rPr>
              <w:t>竞投保证金</w:t>
            </w:r>
          </w:p>
        </w:tc>
        <w:tc>
          <w:tcPr>
            <w:tcW w:w="5760" w:type="dxa"/>
          </w:tcPr>
          <w:p>
            <w:pPr>
              <w:spacing w:line="360" w:lineRule="auto"/>
            </w:pPr>
            <w:r>
              <w:rPr>
                <w:rFonts w:hint="eastAsia" w:ascii="宋体" w:hAnsi="宋体"/>
                <w:szCs w:val="21"/>
              </w:rPr>
              <w:t>符合第二章“竞投单位须知”第3.4.1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vMerge w:val="continue"/>
          </w:tcPr>
          <w:p/>
        </w:tc>
        <w:tc>
          <w:tcPr>
            <w:tcW w:w="1080" w:type="dxa"/>
            <w:vMerge w:val="continue"/>
          </w:tcPr>
          <w:p/>
        </w:tc>
        <w:tc>
          <w:tcPr>
            <w:tcW w:w="2520" w:type="dxa"/>
          </w:tcPr>
          <w:p>
            <w:pPr>
              <w:spacing w:line="360" w:lineRule="auto"/>
              <w:ind w:firstLine="420" w:firstLineChars="200"/>
            </w:pPr>
            <w:r>
              <w:rPr>
                <w:rFonts w:hint="eastAsia" w:ascii="宋体" w:hAnsi="宋体"/>
                <w:szCs w:val="21"/>
              </w:rPr>
              <w:t>技术标准和要求</w:t>
            </w:r>
          </w:p>
        </w:tc>
        <w:tc>
          <w:tcPr>
            <w:tcW w:w="5760" w:type="dxa"/>
          </w:tcPr>
          <w:p>
            <w:pPr>
              <w:spacing w:line="360" w:lineRule="auto"/>
            </w:pPr>
            <w:r>
              <w:rPr>
                <w:rFonts w:hint="eastAsia" w:ascii="宋体" w:hAnsi="宋体"/>
                <w:szCs w:val="21"/>
              </w:rPr>
              <w:t>符合第七章“技术标准和要求”规定</w:t>
            </w:r>
            <w:r>
              <w:rPr>
                <w:rFonts w:hint="eastAsia" w:ascii="宋体" w:hAnsi="宋体"/>
                <w:b/>
                <w:szCs w:val="21"/>
              </w:rPr>
              <w:t>（</w:t>
            </w:r>
            <w:r>
              <w:rPr>
                <w:rFonts w:hint="eastAsia"/>
              </w:rPr>
              <w:t>不适用于本项目</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vMerge w:val="continue"/>
          </w:tcPr>
          <w:p/>
        </w:tc>
        <w:tc>
          <w:tcPr>
            <w:tcW w:w="1080" w:type="dxa"/>
            <w:vMerge w:val="continue"/>
          </w:tcPr>
          <w:p/>
        </w:tc>
        <w:tc>
          <w:tcPr>
            <w:tcW w:w="2520" w:type="dxa"/>
          </w:tcPr>
          <w:p>
            <w:pPr>
              <w:spacing w:line="360" w:lineRule="auto"/>
              <w:rPr>
                <w:rFonts w:ascii="宋体" w:hAnsi="宋体"/>
                <w:szCs w:val="21"/>
              </w:rPr>
            </w:pPr>
            <w:r>
              <w:rPr>
                <w:rFonts w:hint="eastAsia" w:ascii="宋体" w:hAnsi="宋体"/>
                <w:szCs w:val="21"/>
              </w:rPr>
              <w:t>项目管理机构基本要求</w:t>
            </w:r>
          </w:p>
        </w:tc>
        <w:tc>
          <w:tcPr>
            <w:tcW w:w="5760" w:type="dxa"/>
          </w:tcPr>
          <w:p>
            <w:pPr>
              <w:spacing w:line="360" w:lineRule="auto"/>
              <w:rPr>
                <w:rFonts w:ascii="宋体" w:hAnsi="宋体"/>
                <w:szCs w:val="21"/>
              </w:rPr>
            </w:pPr>
            <w:r>
              <w:rPr>
                <w:rFonts w:hint="eastAsia" w:ascii="宋体" w:hAnsi="宋体"/>
                <w:szCs w:val="21"/>
              </w:rPr>
              <w:t>符合第二章“竞投单位须知”第10.1 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vMerge w:val="continue"/>
          </w:tcPr>
          <w:p/>
        </w:tc>
        <w:tc>
          <w:tcPr>
            <w:tcW w:w="1080" w:type="dxa"/>
            <w:vMerge w:val="continue"/>
          </w:tcPr>
          <w:p/>
        </w:tc>
        <w:tc>
          <w:tcPr>
            <w:tcW w:w="2520" w:type="dxa"/>
          </w:tcPr>
          <w:p>
            <w:pPr>
              <w:spacing w:line="360" w:lineRule="auto"/>
              <w:rPr>
                <w:rFonts w:ascii="宋体" w:hAnsi="宋体"/>
                <w:b/>
                <w:szCs w:val="21"/>
              </w:rPr>
            </w:pPr>
            <w:r>
              <w:rPr>
                <w:rFonts w:hint="eastAsia" w:ascii="宋体" w:hAnsi="宋体"/>
                <w:b/>
                <w:szCs w:val="21"/>
              </w:rPr>
              <w:t>主要机械设备基本要求</w:t>
            </w:r>
          </w:p>
        </w:tc>
        <w:tc>
          <w:tcPr>
            <w:tcW w:w="5760" w:type="dxa"/>
          </w:tcPr>
          <w:p>
            <w:pPr>
              <w:spacing w:line="360" w:lineRule="auto"/>
              <w:rPr>
                <w:rFonts w:ascii="宋体" w:hAnsi="宋体"/>
                <w:b/>
                <w:szCs w:val="21"/>
              </w:rPr>
            </w:pPr>
            <w:r>
              <w:rPr>
                <w:rFonts w:hint="eastAsia" w:ascii="宋体" w:hAnsi="宋体"/>
                <w:b/>
                <w:szCs w:val="21"/>
              </w:rPr>
              <w:t>符合第二章“竞投单位须知”第10.1 款规定（</w:t>
            </w:r>
            <w:r>
              <w:rPr>
                <w:rFonts w:hint="eastAsia"/>
              </w:rPr>
              <w:t>不适用于本项目</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800" w:type="dxa"/>
            <w:gridSpan w:val="2"/>
            <w:vAlign w:val="center"/>
          </w:tcPr>
          <w:p>
            <w:pPr>
              <w:spacing w:line="360" w:lineRule="auto"/>
              <w:ind w:firstLine="420" w:firstLineChars="200"/>
              <w:rPr>
                <w:dstrike/>
              </w:rPr>
            </w:pPr>
            <w:r>
              <w:rPr>
                <w:rFonts w:hint="eastAsia"/>
              </w:rPr>
              <w:t>条款号</w:t>
            </w:r>
          </w:p>
        </w:tc>
        <w:tc>
          <w:tcPr>
            <w:tcW w:w="2520" w:type="dxa"/>
          </w:tcPr>
          <w:p>
            <w:pPr>
              <w:spacing w:line="360" w:lineRule="auto"/>
              <w:ind w:firstLine="420" w:firstLineChars="200"/>
              <w:jc w:val="center"/>
              <w:rPr>
                <w:dstrike/>
              </w:rPr>
            </w:pPr>
            <w:r>
              <w:rPr>
                <w:rFonts w:hint="eastAsia"/>
              </w:rPr>
              <w:t>评审内容</w:t>
            </w:r>
          </w:p>
        </w:tc>
        <w:tc>
          <w:tcPr>
            <w:tcW w:w="5760" w:type="dxa"/>
          </w:tcPr>
          <w:p>
            <w:pPr>
              <w:spacing w:line="360" w:lineRule="auto"/>
              <w:ind w:firstLine="420" w:firstLineChars="200"/>
              <w:jc w:val="center"/>
              <w:rPr>
                <w:dstrike/>
              </w:rPr>
            </w:pPr>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20" w:type="dxa"/>
            <w:tcBorders>
              <w:bottom w:val="single" w:color="auto" w:sz="4" w:space="0"/>
            </w:tcBorders>
            <w:vAlign w:val="center"/>
          </w:tcPr>
          <w:p>
            <w:pPr>
              <w:jc w:val="center"/>
            </w:pPr>
            <w:r>
              <w:rPr>
                <w:rFonts w:hint="eastAsia"/>
              </w:rPr>
              <w:t>2.2</w:t>
            </w:r>
          </w:p>
        </w:tc>
        <w:tc>
          <w:tcPr>
            <w:tcW w:w="1080" w:type="dxa"/>
            <w:vAlign w:val="center"/>
          </w:tcPr>
          <w:p>
            <w:pPr>
              <w:jc w:val="center"/>
            </w:pPr>
            <w:r>
              <w:rPr>
                <w:rFonts w:hint="eastAsia" w:ascii="宋体" w:hAnsi="宋体"/>
                <w:szCs w:val="21"/>
              </w:rPr>
              <w:t>详细评审标准</w:t>
            </w:r>
          </w:p>
        </w:tc>
        <w:tc>
          <w:tcPr>
            <w:tcW w:w="2520" w:type="dxa"/>
            <w:vAlign w:val="center"/>
          </w:tcPr>
          <w:p>
            <w:pPr>
              <w:spacing w:line="360" w:lineRule="auto"/>
              <w:jc w:val="center"/>
            </w:pPr>
            <w:r>
              <w:rPr>
                <w:rFonts w:hint="eastAsia" w:ascii="宋体" w:hAnsi="宋体"/>
                <w:szCs w:val="21"/>
              </w:rPr>
              <w:t>经济竞投文件</w:t>
            </w:r>
          </w:p>
        </w:tc>
        <w:tc>
          <w:tcPr>
            <w:tcW w:w="5760" w:type="dxa"/>
          </w:tcPr>
          <w:p>
            <w:pPr>
              <w:snapToGrid w:val="0"/>
              <w:spacing w:line="320" w:lineRule="exact"/>
              <w:ind w:firstLine="420" w:firstLineChars="200"/>
              <w:rPr>
                <w:rFonts w:hint="eastAsia" w:ascii="宋体" w:hAnsi="宋体" w:eastAsia="宋体" w:cs="宋体"/>
                <w:b/>
                <w:szCs w:val="21"/>
              </w:rPr>
            </w:pPr>
            <w:r>
              <w:rPr>
                <w:rFonts w:hint="eastAsia" w:ascii="宋体" w:hAnsi="宋体" w:eastAsia="宋体" w:cs="宋体"/>
                <w:szCs w:val="21"/>
              </w:rPr>
              <w:t>1）竞投报价小于或等于竞投报价上限值者为有效竞投报价，其中竞投单位的绿色施工安全防护措施费的报价不得低于公布的中介预算中绿色施工安全防护措施费用</w:t>
            </w:r>
            <w:r>
              <w:rPr>
                <w:rFonts w:hint="eastAsia" w:ascii="宋体" w:hAnsi="宋体" w:eastAsia="宋体" w:cs="宋体"/>
                <w:b/>
                <w:szCs w:val="21"/>
              </w:rPr>
              <w:t>总额</w:t>
            </w:r>
            <w:r>
              <w:rPr>
                <w:rFonts w:hint="eastAsia" w:ascii="宋体" w:hAnsi="宋体" w:eastAsia="宋体" w:cs="宋体"/>
                <w:szCs w:val="21"/>
              </w:rPr>
              <w:t>，低于者无效。</w:t>
            </w:r>
          </w:p>
          <w:p>
            <w:pPr>
              <w:snapToGrid w:val="0"/>
              <w:spacing w:line="320" w:lineRule="exact"/>
              <w:ind w:firstLine="420" w:firstLineChars="200"/>
              <w:rPr>
                <w:rFonts w:hint="eastAsia" w:ascii="宋体" w:hAnsi="宋体" w:eastAsia="宋体" w:cs="宋体"/>
                <w:szCs w:val="21"/>
              </w:rPr>
            </w:pPr>
            <w:r>
              <w:rPr>
                <w:rFonts w:hint="eastAsia" w:ascii="宋体" w:hAnsi="宋体" w:eastAsia="宋体" w:cs="宋体"/>
                <w:szCs w:val="21"/>
              </w:rPr>
              <w:t>2）对有效的竞投报价从小到大的顺序进行排名。</w:t>
            </w:r>
          </w:p>
          <w:p>
            <w:pPr>
              <w:snapToGrid w:val="0"/>
              <w:spacing w:line="320" w:lineRule="exact"/>
              <w:ind w:firstLine="420" w:firstLineChars="200"/>
              <w:rPr>
                <w:rFonts w:hint="eastAsia" w:ascii="宋体" w:hAnsi="宋体" w:eastAsia="宋体" w:cs="宋体"/>
              </w:rPr>
            </w:pPr>
            <w:r>
              <w:rPr>
                <w:rFonts w:hint="eastAsia" w:ascii="宋体" w:hAnsi="宋体" w:eastAsia="宋体" w:cs="宋体"/>
              </w:rPr>
              <w:t>3）对有效的竞投报价排名前6名（不足6名的按实际家数排名）的竞投单位进行经济竞投文件评审。</w:t>
            </w:r>
          </w:p>
          <w:p>
            <w:pPr>
              <w:snapToGrid w:val="0"/>
              <w:spacing w:line="320" w:lineRule="exact"/>
              <w:ind w:firstLine="420" w:firstLineChars="200"/>
              <w:rPr>
                <w:rFonts w:hint="eastAsia" w:ascii="宋体" w:hAnsi="宋体" w:eastAsia="宋体" w:cs="宋体"/>
                <w:b/>
                <w:szCs w:val="21"/>
              </w:rPr>
            </w:pPr>
            <w:r>
              <w:rPr>
                <w:rFonts w:hint="eastAsia" w:ascii="宋体" w:hAnsi="宋体" w:eastAsia="宋体" w:cs="宋体"/>
              </w:rPr>
              <w:t>4）对通过经济竞投评审的竞投单位进行基本资料竞投文件符合性审查，经审查合格有效的单位达到二家或以上时，则按经济竞投文件排名的先后顺序依序确定排名居第一位为第一中选候选人、排名居第二位的为第二中选候选人、排名居第三位的为第三中选候选人。当基本资料竞投文件合格的单位不足2家时，则按第二阶段经济竞投文件排名的先后顺序依序递补够6家进行评审（有效经济竞投文件不足6家时，按实际的有效经济竞投文件的数量进行评审），直至评审达到2家单位合格为止，并仍按第二阶段经济竞投文件排名的先后顺序依序确定排名居第一位为第一中选候选人、排名居第二位的为第二中选候选人、排名居第三位的为第三中选候选人。（如最终所有竞投单位的基本资料竞投文件合格者不足2家，则评审中止，由建设单位（项目需求单位）重新组织竞投）。</w:t>
            </w:r>
            <w:r>
              <w:rPr>
                <w:rFonts w:hint="eastAsia" w:ascii="宋体" w:hAnsi="宋体" w:eastAsia="宋体" w:cs="宋体"/>
                <w:szCs w:val="21"/>
              </w:rPr>
              <w:t>若第一中选</w:t>
            </w:r>
            <w:r>
              <w:rPr>
                <w:rFonts w:hint="eastAsia" w:ascii="宋体" w:hAnsi="宋体" w:eastAsia="宋体" w:cs="宋体"/>
                <w:szCs w:val="21"/>
                <w:lang w:val="fr-CH"/>
              </w:rPr>
              <w:t>候选单位</w:t>
            </w:r>
            <w:r>
              <w:rPr>
                <w:rFonts w:hint="eastAsia" w:ascii="宋体" w:hAnsi="宋体" w:eastAsia="宋体" w:cs="宋体"/>
                <w:szCs w:val="21"/>
              </w:rPr>
              <w:t>有两家或两家以上（即竞投报价相同），以绿色施工安全防护措施费高的为</w:t>
            </w:r>
            <w:r>
              <w:rPr>
                <w:rFonts w:hint="eastAsia" w:ascii="宋体" w:hAnsi="宋体" w:eastAsia="宋体" w:cs="宋体"/>
                <w:spacing w:val="-10"/>
                <w:szCs w:val="21"/>
              </w:rPr>
              <w:t>中选人。</w:t>
            </w:r>
            <w:r>
              <w:rPr>
                <w:rFonts w:hint="eastAsia" w:ascii="宋体" w:hAnsi="宋体" w:eastAsia="宋体" w:cs="宋体"/>
                <w:szCs w:val="21"/>
                <w:lang w:val="fr-CH"/>
              </w:rPr>
              <w:t>以中选单位的报价为中选价。</w:t>
            </w:r>
          </w:p>
          <w:p>
            <w:pPr>
              <w:spacing w:line="320" w:lineRule="exact"/>
              <w:ind w:firstLine="420" w:firstLineChars="200"/>
              <w:rPr>
                <w:rFonts w:ascii="宋体" w:hAnsi="宋体"/>
                <w:szCs w:val="21"/>
              </w:rPr>
            </w:pPr>
            <w:r>
              <w:rPr>
                <w:rFonts w:hint="eastAsia" w:ascii="宋体" w:hAnsi="宋体" w:eastAsia="宋体" w:cs="宋体"/>
                <w:szCs w:val="21"/>
                <w:lang w:val="en-US" w:eastAsia="zh-CN"/>
              </w:rPr>
              <w:t>5</w:t>
            </w:r>
            <w:r>
              <w:rPr>
                <w:rFonts w:hint="eastAsia" w:ascii="宋体" w:hAnsi="宋体" w:eastAsia="宋体" w:cs="宋体"/>
                <w:szCs w:val="21"/>
              </w:rPr>
              <w:t>）凡数额计算按四舍五入的规则，保留小数点后两位小数；凡金额计算按四舍五入的规则，计至分。</w:t>
            </w:r>
          </w:p>
        </w:tc>
      </w:tr>
    </w:tbl>
    <w:p>
      <w:pPr>
        <w:pStyle w:val="4"/>
      </w:pPr>
      <w:bookmarkStart w:id="90" w:name="_Toc427572506"/>
      <w:bookmarkStart w:id="91" w:name="_Toc477771278"/>
      <w:bookmarkStart w:id="92" w:name="_Toc381691752"/>
      <w:bookmarkStart w:id="93" w:name="_Toc398537333"/>
      <w:bookmarkStart w:id="94" w:name="_Toc374523631"/>
      <w:bookmarkStart w:id="95" w:name="_Toc184635089"/>
      <w:r>
        <w:rPr>
          <w:rFonts w:hint="eastAsia"/>
        </w:rPr>
        <w:t>1、评审方法</w:t>
      </w:r>
      <w:bookmarkEnd w:id="90"/>
      <w:bookmarkEnd w:id="91"/>
      <w:bookmarkEnd w:id="92"/>
      <w:bookmarkEnd w:id="93"/>
      <w:bookmarkEnd w:id="94"/>
      <w:bookmarkEnd w:id="95"/>
    </w:p>
    <w:p>
      <w:pPr>
        <w:spacing w:line="460" w:lineRule="exact"/>
        <w:ind w:firstLine="420" w:firstLineChars="200"/>
        <w:rPr>
          <w:rFonts w:hint="eastAsia" w:ascii="宋体" w:hAnsi="宋体" w:eastAsia="宋体" w:cs="宋体"/>
          <w:b/>
          <w:spacing w:val="-10"/>
        </w:rPr>
      </w:pPr>
      <w:r>
        <w:rPr>
          <w:rFonts w:hint="eastAsia" w:ascii="宋体" w:hAnsi="宋体"/>
          <w:szCs w:val="21"/>
        </w:rPr>
        <w:t>1.1评审委员</w:t>
      </w:r>
      <w:r>
        <w:rPr>
          <w:rFonts w:hint="eastAsia" w:ascii="宋体" w:hAnsi="宋体" w:eastAsia="宋体" w:cs="宋体"/>
          <w:szCs w:val="21"/>
        </w:rPr>
        <w:t>会按照2.1.1款评审标准对竞投单位进行资格评审，对通过资格评审的竞投文件根据本章2.1.2款规定的评审标准对经济竞投文件进行形式评审，符合2.1.2款评审标准的竞投文件，按照本章第2.1.3款规定的评审办法对经济竞投文件进行响应性评审。</w:t>
      </w:r>
      <w:r>
        <w:rPr>
          <w:rFonts w:hint="eastAsia" w:ascii="宋体" w:hAnsi="宋体" w:eastAsia="宋体" w:cs="宋体"/>
        </w:rPr>
        <w:t>评审委员会按照经评审的竞投价由低到高的顺序确定经济竞投文件排名</w:t>
      </w:r>
      <w:r>
        <w:rPr>
          <w:rFonts w:hint="eastAsia" w:ascii="宋体" w:hAnsi="宋体" w:eastAsia="宋体" w:cs="宋体"/>
          <w:spacing w:val="-10"/>
        </w:rPr>
        <w:t>，</w:t>
      </w:r>
      <w:r>
        <w:rPr>
          <w:rFonts w:hint="eastAsia" w:ascii="宋体" w:hAnsi="宋体" w:eastAsia="宋体" w:cs="宋体"/>
        </w:rPr>
        <w:t>对排名前6名（不足6名的按实际家数排名）单位的基本资料竞投文件进行符合性检查，合格的，经济竞投文件排名居第一位为第一中选候选人、排名居第二位的为第二中选候选人、排名居第三位的为第三中选候选人。</w:t>
      </w:r>
    </w:p>
    <w:p>
      <w:pPr>
        <w:spacing w:line="460" w:lineRule="exact"/>
        <w:ind w:firstLine="420" w:firstLineChars="200"/>
        <w:rPr>
          <w:rFonts w:ascii="宋体" w:hAnsi="宋体"/>
          <w:szCs w:val="21"/>
        </w:rPr>
      </w:pPr>
      <w:r>
        <w:rPr>
          <w:rFonts w:hint="eastAsia" w:ascii="宋体" w:hAnsi="宋体" w:eastAsia="宋体" w:cs="宋体"/>
          <w:szCs w:val="21"/>
        </w:rPr>
        <w:t>1.2按照本章第2.2 款规定的评分标准对经济竞投文件排名前6名</w:t>
      </w:r>
      <w:r>
        <w:rPr>
          <w:rFonts w:hint="eastAsia" w:ascii="宋体" w:hAnsi="宋体" w:eastAsia="宋体" w:cs="宋体"/>
        </w:rPr>
        <w:t>（不足6名的按</w:t>
      </w:r>
      <w:r>
        <w:rPr>
          <w:rFonts w:hint="eastAsia"/>
        </w:rPr>
        <w:t>实际家数排名）</w:t>
      </w:r>
      <w:r>
        <w:rPr>
          <w:rFonts w:hint="eastAsia" w:ascii="宋体" w:hAnsi="宋体"/>
          <w:szCs w:val="21"/>
        </w:rPr>
        <w:t>的竞投单位的基本资料竞投文件按照本章第2.1.2 款规定进行形式评审，符合2.1.2款评审标准的竞投文件，按照本章第2.1.3款规定的评审标准对基本资料竞投文件标进行响应性评审。经审查合格的单位达到2家或以上时，则按经济竞投文件排名的先后顺序依序确定排名第一位为第一中选候选人、排名第二位的为第二中选候选人、排名第三位的为第三中选候选人。当基本资料竞投文件合格的单位不足2家时，则按经济竞投文件排名的先后顺序依序递补够6家进行评审（有效经济竞投文件不足6家时，按实际的有效经济竞投文件的数量进行评审），直至评审达到2家单位合格为止，并按经济竞投文件排名的先后顺序依序确定排名第一位为第一中选候选人、排名第二位的为第二中选候选人、排名第三位的为第三中选候选人。（如最终所有竞投单位的基本资料竞投文件合格者不足2家，则评审中止，由建设单位（项目需求单位）重新组织竞投）。</w:t>
      </w:r>
      <w:r>
        <w:rPr>
          <w:rFonts w:hint="eastAsia" w:hAnsi="宋体"/>
          <w:b/>
        </w:rPr>
        <w:t>当第一中选候选人放弃中选或因不可抗力提出不能履行合同时，建设单位（项目需求单位）可以确定第二中选候选人为中选人。当第二中选候选人</w:t>
      </w:r>
      <w:r>
        <w:rPr>
          <w:rFonts w:hint="eastAsia" w:hAnsi="宋体"/>
          <w:b/>
          <w:bCs/>
          <w:szCs w:val="28"/>
        </w:rPr>
        <w:t>因与第一中选候选人同样的原因不能签订合同时，建设单位（项目需求单位）可以确定第三中选候选人为中选人。</w:t>
      </w:r>
    </w:p>
    <w:p>
      <w:pPr>
        <w:spacing w:line="460" w:lineRule="exact"/>
        <w:ind w:firstLine="420" w:firstLineChars="200"/>
        <w:rPr>
          <w:rFonts w:ascii="宋体" w:hAnsi="宋体"/>
          <w:szCs w:val="21"/>
          <w:lang w:val="fr-CH"/>
        </w:rPr>
      </w:pPr>
      <w:r>
        <w:rPr>
          <w:rFonts w:hint="eastAsia" w:ascii="宋体" w:hAnsi="宋体"/>
          <w:szCs w:val="21"/>
        </w:rPr>
        <w:t>1.3若第一中选</w:t>
      </w:r>
      <w:r>
        <w:rPr>
          <w:rFonts w:hint="eastAsia" w:ascii="宋体" w:hAnsi="宋体"/>
          <w:szCs w:val="21"/>
          <w:lang w:val="fr-CH"/>
        </w:rPr>
        <w:t>候选单位</w:t>
      </w:r>
      <w:r>
        <w:rPr>
          <w:rFonts w:hint="eastAsia" w:ascii="宋体" w:hAnsi="宋体"/>
          <w:szCs w:val="21"/>
        </w:rPr>
        <w:t>有两家或两家以上（即竞投报价相同），以绿色施工安全防护措施费高的为</w:t>
      </w:r>
      <w:r>
        <w:rPr>
          <w:rFonts w:hint="eastAsia" w:ascii="宋体" w:hAnsi="宋体"/>
          <w:spacing w:val="-10"/>
          <w:szCs w:val="21"/>
        </w:rPr>
        <w:t>中选人。</w:t>
      </w:r>
      <w:r>
        <w:rPr>
          <w:rFonts w:hint="eastAsia" w:ascii="宋体" w:hAnsi="宋体"/>
          <w:szCs w:val="21"/>
          <w:lang w:val="fr-CH"/>
        </w:rPr>
        <w:t>以中选单位的报价为中选价。</w:t>
      </w:r>
    </w:p>
    <w:p>
      <w:pPr>
        <w:pStyle w:val="4"/>
        <w:tabs>
          <w:tab w:val="left" w:pos="7797"/>
        </w:tabs>
      </w:pPr>
      <w:bookmarkStart w:id="96" w:name="_Toc374523632"/>
      <w:bookmarkStart w:id="97" w:name="_Toc381691753"/>
      <w:bookmarkStart w:id="98" w:name="_Toc477771279"/>
      <w:bookmarkStart w:id="99" w:name="_Toc184635090"/>
      <w:bookmarkStart w:id="100" w:name="_Toc398537334"/>
      <w:bookmarkStart w:id="101" w:name="_Toc427572507"/>
      <w:r>
        <w:rPr>
          <w:rFonts w:hint="eastAsia"/>
        </w:rPr>
        <w:t>2、评审标准</w:t>
      </w:r>
      <w:bookmarkEnd w:id="96"/>
      <w:bookmarkEnd w:id="97"/>
      <w:bookmarkEnd w:id="98"/>
      <w:bookmarkEnd w:id="99"/>
      <w:bookmarkEnd w:id="100"/>
      <w:bookmarkEnd w:id="101"/>
    </w:p>
    <w:p>
      <w:pPr>
        <w:pStyle w:val="5"/>
      </w:pPr>
      <w:r>
        <w:rPr>
          <w:rFonts w:hint="eastAsia"/>
        </w:rPr>
        <w:t>2.1 初步评审标准</w:t>
      </w:r>
    </w:p>
    <w:p>
      <w:pPr>
        <w:spacing w:line="420" w:lineRule="exact"/>
        <w:ind w:firstLine="420" w:firstLineChars="200"/>
        <w:rPr>
          <w:rFonts w:ascii="宋体" w:hAnsi="宋体"/>
          <w:szCs w:val="21"/>
        </w:rPr>
      </w:pPr>
      <w:r>
        <w:rPr>
          <w:rFonts w:hint="eastAsia" w:ascii="宋体" w:hAnsi="宋体"/>
          <w:szCs w:val="21"/>
        </w:rPr>
        <w:t>2.1.1 资格评审标准：见评审办法前附表（适用于未进行资格预审的）。</w:t>
      </w:r>
    </w:p>
    <w:p>
      <w:pPr>
        <w:spacing w:line="420" w:lineRule="exact"/>
        <w:ind w:firstLine="420" w:firstLineChars="200"/>
        <w:rPr>
          <w:rFonts w:ascii="宋体" w:hAnsi="宋体"/>
          <w:szCs w:val="21"/>
        </w:rPr>
      </w:pPr>
      <w:r>
        <w:rPr>
          <w:rFonts w:hint="eastAsia" w:ascii="宋体" w:hAnsi="宋体"/>
          <w:szCs w:val="21"/>
        </w:rPr>
        <w:t>2.1.1 资格评审标准：见资格预审文件第三章“资格审查办法”详细审查标准（适用于已进行资格预审的）。</w:t>
      </w:r>
    </w:p>
    <w:p>
      <w:pPr>
        <w:spacing w:line="420" w:lineRule="exact"/>
        <w:ind w:firstLine="420" w:firstLineChars="200"/>
        <w:rPr>
          <w:rFonts w:ascii="宋体" w:hAnsi="宋体"/>
          <w:szCs w:val="21"/>
        </w:rPr>
      </w:pPr>
      <w:r>
        <w:rPr>
          <w:rFonts w:hint="eastAsia" w:ascii="宋体" w:hAnsi="宋体"/>
          <w:szCs w:val="21"/>
        </w:rPr>
        <w:t>2.1.2 形式评审标准：见评审办法前附表。</w:t>
      </w:r>
    </w:p>
    <w:p>
      <w:pPr>
        <w:spacing w:line="360" w:lineRule="auto"/>
        <w:ind w:firstLine="420" w:firstLineChars="200"/>
        <w:rPr>
          <w:rFonts w:ascii="宋体" w:hAnsi="宋体"/>
          <w:szCs w:val="21"/>
        </w:rPr>
      </w:pPr>
      <w:r>
        <w:rPr>
          <w:rFonts w:hint="eastAsia" w:ascii="宋体" w:hAnsi="宋体"/>
          <w:szCs w:val="21"/>
        </w:rPr>
        <w:t>2.1.3 响应性评审标准：见评审办法前附表。</w:t>
      </w:r>
    </w:p>
    <w:p>
      <w:pPr>
        <w:pStyle w:val="5"/>
      </w:pPr>
      <w:r>
        <w:rPr>
          <w:rFonts w:hint="eastAsia"/>
        </w:rPr>
        <w:t>2.2 详细评审标准</w:t>
      </w:r>
    </w:p>
    <w:p>
      <w:pPr>
        <w:spacing w:line="360" w:lineRule="auto"/>
        <w:ind w:firstLine="420" w:firstLineChars="200"/>
        <w:rPr>
          <w:rFonts w:ascii="宋体" w:hAnsi="宋体"/>
          <w:szCs w:val="21"/>
        </w:rPr>
      </w:pPr>
      <w:r>
        <w:rPr>
          <w:rFonts w:hint="eastAsia" w:ascii="宋体" w:hAnsi="宋体"/>
          <w:szCs w:val="21"/>
        </w:rPr>
        <w:t>详细评审标准：见评审办法前附表。</w:t>
      </w:r>
    </w:p>
    <w:p>
      <w:pPr>
        <w:pStyle w:val="4"/>
      </w:pPr>
      <w:bookmarkStart w:id="102" w:name="_Toc374523633"/>
      <w:bookmarkStart w:id="103" w:name="_Toc184635091"/>
      <w:bookmarkStart w:id="104" w:name="_Toc477771280"/>
      <w:bookmarkStart w:id="105" w:name="_Toc381691754"/>
      <w:bookmarkStart w:id="106" w:name="_Toc398537335"/>
      <w:bookmarkStart w:id="107" w:name="_Toc427572508"/>
      <w:r>
        <w:rPr>
          <w:rFonts w:hint="eastAsia"/>
        </w:rPr>
        <w:t>3、评审程序</w:t>
      </w:r>
      <w:bookmarkEnd w:id="102"/>
      <w:bookmarkEnd w:id="103"/>
      <w:bookmarkEnd w:id="104"/>
      <w:bookmarkEnd w:id="105"/>
      <w:bookmarkEnd w:id="106"/>
      <w:bookmarkEnd w:id="107"/>
    </w:p>
    <w:p>
      <w:pPr>
        <w:spacing w:line="430" w:lineRule="exact"/>
        <w:ind w:firstLine="420" w:firstLineChars="200"/>
      </w:pPr>
      <w:r>
        <w:rPr>
          <w:rFonts w:hint="eastAsia"/>
        </w:rPr>
        <w:t>评审活动将按以下五个步骤进行：</w:t>
      </w:r>
    </w:p>
    <w:p>
      <w:pPr>
        <w:spacing w:line="430" w:lineRule="exact"/>
        <w:ind w:firstLine="420" w:firstLineChars="200"/>
        <w:rPr>
          <w:rFonts w:ascii="宋体" w:hAnsi="宋体" w:eastAsia="宋体" w:cs="宋体"/>
        </w:rPr>
      </w:pPr>
      <w:r>
        <w:rPr>
          <w:rFonts w:hint="eastAsia" w:ascii="宋体" w:hAnsi="宋体" w:eastAsia="宋体" w:cs="宋体"/>
        </w:rPr>
        <w:t>3.1评审准备；</w:t>
      </w:r>
    </w:p>
    <w:p>
      <w:pPr>
        <w:spacing w:line="430" w:lineRule="exact"/>
        <w:ind w:firstLine="420" w:firstLineChars="200"/>
        <w:rPr>
          <w:rFonts w:ascii="宋体" w:hAnsi="宋体" w:eastAsia="宋体" w:cs="宋体"/>
        </w:rPr>
      </w:pPr>
      <w:r>
        <w:rPr>
          <w:rFonts w:hint="eastAsia" w:ascii="宋体" w:hAnsi="宋体" w:eastAsia="宋体" w:cs="宋体"/>
        </w:rPr>
        <w:t>3.2初步评审；</w:t>
      </w:r>
    </w:p>
    <w:p>
      <w:pPr>
        <w:spacing w:line="430" w:lineRule="exact"/>
        <w:ind w:firstLine="420" w:firstLineChars="200"/>
        <w:rPr>
          <w:rFonts w:ascii="宋体" w:hAnsi="宋体" w:eastAsia="宋体" w:cs="宋体"/>
        </w:rPr>
      </w:pPr>
      <w:r>
        <w:rPr>
          <w:rFonts w:hint="eastAsia" w:ascii="宋体" w:hAnsi="宋体" w:eastAsia="宋体" w:cs="宋体"/>
        </w:rPr>
        <w:t>3.3详细评审；</w:t>
      </w:r>
    </w:p>
    <w:p>
      <w:pPr>
        <w:spacing w:line="430" w:lineRule="exact"/>
        <w:ind w:firstLine="420" w:firstLineChars="200"/>
        <w:rPr>
          <w:rFonts w:ascii="宋体" w:hAnsi="宋体" w:eastAsia="宋体" w:cs="宋体"/>
        </w:rPr>
      </w:pPr>
      <w:r>
        <w:rPr>
          <w:rFonts w:hint="eastAsia" w:ascii="宋体" w:hAnsi="宋体" w:eastAsia="宋体" w:cs="宋体"/>
        </w:rPr>
        <w:t>3.4澄清、说明或补正；</w:t>
      </w:r>
    </w:p>
    <w:p>
      <w:pPr>
        <w:spacing w:line="430" w:lineRule="exact"/>
        <w:ind w:firstLine="420" w:firstLineChars="200"/>
      </w:pPr>
      <w:r>
        <w:rPr>
          <w:rFonts w:hint="eastAsia" w:ascii="宋体" w:hAnsi="宋体" w:eastAsia="宋体" w:cs="宋体"/>
        </w:rPr>
        <w:t>3.5</w:t>
      </w:r>
      <w:r>
        <w:rPr>
          <w:rFonts w:hint="eastAsia"/>
        </w:rPr>
        <w:t>推荐中选候选人或者直接确定中选人及提交评审报告。</w:t>
      </w:r>
    </w:p>
    <w:p>
      <w:pPr>
        <w:spacing w:line="430" w:lineRule="exact"/>
      </w:pPr>
      <w:r>
        <w:rPr>
          <w:rFonts w:hint="eastAsia" w:ascii="宋体" w:hAnsi="宋体"/>
          <w:b/>
        </w:rPr>
        <w:t>3.1</w:t>
      </w:r>
      <w:r>
        <w:rPr>
          <w:rFonts w:hint="eastAsia"/>
        </w:rPr>
        <w:t>评审准备</w:t>
      </w:r>
    </w:p>
    <w:p>
      <w:pPr>
        <w:spacing w:line="430" w:lineRule="exact"/>
        <w:ind w:firstLine="420" w:firstLineChars="200"/>
      </w:pPr>
      <w:r>
        <w:rPr>
          <w:rFonts w:hint="eastAsia" w:ascii="宋体" w:hAnsi="宋体"/>
        </w:rPr>
        <w:t>3.1.1</w:t>
      </w:r>
      <w:r>
        <w:rPr>
          <w:rFonts w:hint="eastAsia"/>
        </w:rPr>
        <w:t>评审委员会成员认真研究项目需求书，了解和熟悉竞投目的、竞投范围、主要合同条件、技术标准和要求、质量标准和工期要求等，掌握评审标准和方法，熟悉本章及附件中包括的评审表格的使用，如果本章及附件所附的表格不能满足评审所需时，应补充编制评审所需的表格。未在项目需求书中规定的标准和方法不得作为评审的依据。</w:t>
      </w:r>
    </w:p>
    <w:p>
      <w:pPr>
        <w:spacing w:line="430" w:lineRule="exact"/>
        <w:ind w:firstLine="420" w:firstLineChars="200"/>
      </w:pPr>
      <w:r>
        <w:rPr>
          <w:rFonts w:hint="eastAsia" w:ascii="宋体" w:hAnsi="宋体"/>
        </w:rPr>
        <w:t>3.1.2</w:t>
      </w:r>
      <w:r>
        <w:rPr>
          <w:rFonts w:hint="eastAsia"/>
        </w:rPr>
        <w:t>建设单位（项目需求单位）或代理单位应向评审委员会提供评审所需的信息和数据，包括项目需求书、未在竞投会会上当场拒绝的各竞投文件、竞投会会记录、竞投控制价或标底（如果有）、工程所在地工程造价管理部门颁布的工程造价信息、定额（如作为计价依据时）、有关的法律、法规、规章、国家标准以及建设单位（项目需求单位）或评审委员会认为必要的其他信息和数据。</w:t>
      </w:r>
    </w:p>
    <w:p>
      <w:pPr>
        <w:spacing w:line="410" w:lineRule="exact"/>
        <w:ind w:firstLine="420" w:firstLineChars="200"/>
        <w:outlineLvl w:val="0"/>
        <w:rPr>
          <w:rFonts w:ascii="宋体" w:hAnsi="宋体" w:eastAsia="宋体" w:cs="宋体"/>
        </w:rPr>
      </w:pPr>
      <w:bookmarkStart w:id="108" w:name="_Toc381691758"/>
      <w:bookmarkStart w:id="109" w:name="_Toc398537339"/>
      <w:bookmarkStart w:id="110" w:name="_Toc427572512"/>
      <w:bookmarkStart w:id="111" w:name="_Toc477771281"/>
      <w:bookmarkStart w:id="112" w:name="_Toc374523637"/>
      <w:r>
        <w:rPr>
          <w:rFonts w:hint="eastAsia" w:ascii="宋体" w:hAnsi="宋体" w:eastAsia="宋体" w:cs="宋体"/>
        </w:rPr>
        <w:t>3.1.3 对竞投文件进行基础性数据分析和整理工作（清标）</w:t>
      </w:r>
      <w:bookmarkEnd w:id="108"/>
      <w:bookmarkEnd w:id="109"/>
      <w:bookmarkEnd w:id="110"/>
      <w:bookmarkEnd w:id="111"/>
      <w:bookmarkEnd w:id="112"/>
    </w:p>
    <w:p>
      <w:pPr>
        <w:spacing w:line="410" w:lineRule="exact"/>
        <w:ind w:firstLine="420" w:firstLineChars="200"/>
        <w:rPr>
          <w:rFonts w:ascii="宋体" w:hAnsi="宋体" w:eastAsia="宋体" w:cs="宋体"/>
        </w:rPr>
      </w:pPr>
      <w:r>
        <w:rPr>
          <w:rFonts w:hint="eastAsia" w:ascii="宋体" w:hAnsi="宋体" w:eastAsia="宋体" w:cs="宋体"/>
        </w:rPr>
        <w:t>3.1.3.1在不改变竞投单位竞投文件实质性内容的前提下，评审委员会应当对竞投文件进行基础性数据分析和整理（本章中简称为“清标”），从而发现并提取其中可能存在的对竞投范围理解的偏差、竞投报价的算术性错误、错漏项、竞投报价构成不合理等存在明显异常的问题，并就这些问题整理形成清标成果。评审委员会对清标成果审议后，决定需要竞投单位进行书面澄清、说明或补正的问题，形成质疑问卷，向竞投单位发出问题澄清通知（包括质疑问卷）。</w:t>
      </w:r>
    </w:p>
    <w:p>
      <w:pPr>
        <w:spacing w:line="410" w:lineRule="exact"/>
        <w:ind w:firstLine="420" w:firstLineChars="200"/>
        <w:rPr>
          <w:rFonts w:ascii="宋体" w:hAnsi="宋体" w:eastAsia="宋体" w:cs="宋体"/>
        </w:rPr>
      </w:pPr>
      <w:r>
        <w:rPr>
          <w:rFonts w:hint="eastAsia" w:ascii="宋体" w:hAnsi="宋体" w:eastAsia="宋体" w:cs="宋体"/>
        </w:rPr>
        <w:t>3.1.3.2在不影响评审委员会成员的法定权利的前提下，评审委员会可委托由建设单位（项目需求单位）专门成立的清标工作小组完成清标工作。在这种情况下，清标工作可以在评审工作开始之前完成，也可以与评审工作平行进行。清标工作小组成员应为具备相应执业资格的专业人员，且应当符合有关法律法规对评审委员会的回避规定和要求，不得与任何竞投单位有利益、上下级等关系，不得代行依法应当由评审委员会及其成员行使的权利。清标成果应当经过评审委员会的审核确认，经过评审委员会审核确认的清标成果视同是评审委员会的工作成果。</w:t>
      </w:r>
    </w:p>
    <w:p>
      <w:pPr>
        <w:spacing w:line="410" w:lineRule="exact"/>
        <w:ind w:firstLine="420" w:firstLineChars="200"/>
      </w:pPr>
      <w:r>
        <w:rPr>
          <w:rFonts w:hint="eastAsia" w:ascii="宋体" w:hAnsi="宋体" w:eastAsia="宋体" w:cs="宋体"/>
        </w:rPr>
        <w:t>3.1.4.3竞投单位接到评审委员会发出的问题澄清通知后，应按评审委员会的要求提供书面澄清资料并按要求进</w:t>
      </w:r>
      <w:r>
        <w:rPr>
          <w:rFonts w:hint="eastAsia"/>
        </w:rPr>
        <w:t>行密封，在规定的时间递交到指定地点。竞投单位递交的书面澄清资料由评审委员会开启。</w:t>
      </w:r>
    </w:p>
    <w:p>
      <w:pPr>
        <w:pStyle w:val="5"/>
      </w:pPr>
      <w:r>
        <w:rPr>
          <w:rFonts w:hint="eastAsia"/>
        </w:rPr>
        <w:t xml:space="preserve">3.2 初步评审 </w:t>
      </w:r>
    </w:p>
    <w:p>
      <w:pPr>
        <w:spacing w:line="360" w:lineRule="auto"/>
        <w:ind w:firstLine="420" w:firstLineChars="200"/>
        <w:rPr>
          <w:rFonts w:ascii="宋体" w:hAnsi="宋体"/>
          <w:szCs w:val="21"/>
        </w:rPr>
      </w:pPr>
      <w:r>
        <w:rPr>
          <w:rFonts w:hint="eastAsia" w:ascii="宋体" w:hAnsi="宋体"/>
          <w:szCs w:val="21"/>
        </w:rPr>
        <w:t>3.2.1 评审委员会可以要求竞投单位提交第二章“竞投单位须知”第3.5.1 项至第3.5.3 项规定的有关证明和证件的原件，以便核验。评审委员会依据本章第2.1 款规定的标准对竞投文件进行初步评审。有一项不符合评审标准的，作评审不合格。</w:t>
      </w:r>
    </w:p>
    <w:p>
      <w:pPr>
        <w:spacing w:line="360" w:lineRule="auto"/>
        <w:ind w:firstLine="420" w:firstLineChars="200"/>
        <w:rPr>
          <w:rFonts w:ascii="宋体" w:hAnsi="宋体"/>
          <w:szCs w:val="21"/>
        </w:rPr>
      </w:pPr>
      <w:r>
        <w:rPr>
          <w:rFonts w:hint="eastAsia" w:ascii="宋体" w:hAnsi="宋体"/>
          <w:szCs w:val="21"/>
        </w:rPr>
        <w:t>先对竞投单位进行资格评审，对通过资格评审的经济竞投文件进行形式评审、响应性评审和合理性评审，对通过形式评审、响应性评审和合理性评审的竞投报价按本章第2.2款确定经济竞投文件排名。然后再对经济竞投文件排名前六名的竞投单位的基本资料竞投文件资料按形式评审和响应性评审的顺序进行初步评审。</w:t>
      </w:r>
    </w:p>
    <w:p>
      <w:pPr>
        <w:spacing w:line="360" w:lineRule="auto"/>
        <w:ind w:firstLine="420" w:firstLineChars="200"/>
        <w:rPr>
          <w:rFonts w:ascii="宋体" w:hAnsi="宋体"/>
          <w:szCs w:val="21"/>
        </w:rPr>
      </w:pPr>
      <w:r>
        <w:rPr>
          <w:rFonts w:hint="eastAsia" w:ascii="宋体" w:hAnsi="宋体"/>
          <w:szCs w:val="21"/>
        </w:rPr>
        <w:t>3.2.2 竞投单位有以下情形之一的，其竞投不予受理或作废标处理：</w:t>
      </w:r>
    </w:p>
    <w:p>
      <w:pPr>
        <w:spacing w:line="360" w:lineRule="auto"/>
        <w:ind w:firstLine="420" w:firstLineChars="200"/>
        <w:rPr>
          <w:rFonts w:ascii="宋体" w:hAnsi="宋体"/>
          <w:szCs w:val="21"/>
        </w:rPr>
      </w:pPr>
      <w:r>
        <w:rPr>
          <w:rFonts w:hint="eastAsia" w:ascii="宋体" w:hAnsi="宋体"/>
          <w:szCs w:val="21"/>
        </w:rPr>
        <w:t>详见第二章“竞投单位须知”第10.3款。</w:t>
      </w:r>
    </w:p>
    <w:p>
      <w:pPr>
        <w:spacing w:line="360" w:lineRule="auto"/>
        <w:ind w:firstLine="420" w:firstLineChars="200"/>
        <w:rPr>
          <w:rFonts w:ascii="宋体" w:hAnsi="宋体"/>
          <w:szCs w:val="21"/>
        </w:rPr>
      </w:pPr>
      <w:r>
        <w:rPr>
          <w:rFonts w:hint="eastAsia" w:ascii="宋体" w:hAnsi="宋体"/>
          <w:szCs w:val="21"/>
        </w:rPr>
        <w:t>3.2.3 竞投报价有算术错误的，评审委员会按以下原则对竞投报价进行修正，修正的价格经竞投单位书面确认后具有约束力。竞投单位不接受修正价格的，其竞投作废标处理。</w:t>
      </w:r>
    </w:p>
    <w:p>
      <w:pPr>
        <w:spacing w:line="360" w:lineRule="auto"/>
        <w:ind w:firstLine="420" w:firstLineChars="200"/>
        <w:rPr>
          <w:rFonts w:ascii="宋体" w:hAnsi="宋体"/>
          <w:szCs w:val="21"/>
        </w:rPr>
      </w:pPr>
      <w:r>
        <w:rPr>
          <w:rFonts w:hint="eastAsia" w:ascii="宋体" w:hAnsi="宋体"/>
          <w:szCs w:val="21"/>
        </w:rPr>
        <w:t>(1）竞投文件中的大写金额与小写金额不一致的，以大写金额为准（小写金额与合计价一致的除外）；</w:t>
      </w:r>
    </w:p>
    <w:p>
      <w:pPr>
        <w:spacing w:line="360" w:lineRule="auto"/>
        <w:ind w:firstLine="420" w:firstLineChars="200"/>
        <w:rPr>
          <w:rFonts w:ascii="宋体" w:hAnsi="宋体"/>
          <w:szCs w:val="21"/>
        </w:rPr>
      </w:pPr>
      <w:r>
        <w:rPr>
          <w:rFonts w:hint="eastAsia" w:ascii="宋体" w:hAnsi="宋体"/>
          <w:szCs w:val="21"/>
        </w:rPr>
        <w:t>(2）总价金额与依据单价计算出的结果不一致的，以单价金额为准修正总价，但单价金额小数点有明显错误的除外。</w:t>
      </w:r>
    </w:p>
    <w:p>
      <w:pPr>
        <w:pStyle w:val="5"/>
      </w:pPr>
      <w:r>
        <w:rPr>
          <w:rFonts w:hint="eastAsia"/>
        </w:rPr>
        <w:t>3.3 详细评审</w:t>
      </w:r>
    </w:p>
    <w:p>
      <w:pPr>
        <w:spacing w:line="360" w:lineRule="auto"/>
        <w:ind w:firstLine="420" w:firstLineChars="200"/>
        <w:rPr>
          <w:rFonts w:ascii="宋体" w:hAnsi="宋体"/>
          <w:szCs w:val="21"/>
          <w:lang w:val="fr-CH"/>
        </w:rPr>
      </w:pPr>
      <w:r>
        <w:rPr>
          <w:rFonts w:hint="eastAsia" w:ascii="宋体" w:hAnsi="宋体"/>
          <w:szCs w:val="21"/>
        </w:rPr>
        <w:t>3.3.1</w:t>
      </w:r>
      <w:r>
        <w:rPr>
          <w:rFonts w:hint="eastAsia" w:ascii="宋体" w:hAnsi="宋体" w:eastAsia="宋体" w:cs="宋体"/>
          <w:szCs w:val="21"/>
        </w:rPr>
        <w:t>评审委员会按本章第2.2 款规定的评审标准进行经济竞投文件评审，对通过形式评审和响应性评审的竞投报价按从低到高的顺序进行排序，确定经济竞投文件排名。然后再对经济竞投文件排名前6名</w:t>
      </w:r>
      <w:r>
        <w:rPr>
          <w:rFonts w:hint="eastAsia" w:ascii="宋体" w:hAnsi="宋体" w:eastAsia="宋体" w:cs="宋体"/>
        </w:rPr>
        <w:t>（不足6名的按实际家数排名）</w:t>
      </w:r>
      <w:r>
        <w:rPr>
          <w:rFonts w:hint="eastAsia" w:ascii="宋体" w:hAnsi="宋体" w:eastAsia="宋体" w:cs="宋体"/>
          <w:szCs w:val="21"/>
        </w:rPr>
        <w:t>的竞投单位的基本资料竞投文件按形式评审、资格评审和响应性评审进行</w:t>
      </w:r>
      <w:r>
        <w:rPr>
          <w:rFonts w:hint="eastAsia" w:ascii="宋体" w:hAnsi="宋体" w:eastAsia="宋体" w:cs="宋体"/>
        </w:rPr>
        <w:t>合格性评审，经评审合格有效的单位达到2家或以上时，则按经济竞投文件排名的先后顺序依序确定排名第一位为第一中选候选人、排名第二位的为第二中选候选人、排名第三位的为第三中选候选人。当</w:t>
      </w:r>
      <w:r>
        <w:rPr>
          <w:rFonts w:hint="eastAsia" w:ascii="宋体" w:hAnsi="宋体" w:eastAsia="宋体" w:cs="宋体"/>
          <w:szCs w:val="21"/>
        </w:rPr>
        <w:t>基本资料竞投文件</w:t>
      </w:r>
      <w:r>
        <w:rPr>
          <w:rFonts w:hint="eastAsia" w:ascii="宋体" w:hAnsi="宋体" w:eastAsia="宋体" w:cs="宋体"/>
        </w:rPr>
        <w:t>合格的单位不足2家时，则按经济竞投文件排名的先后顺序依序递补够6家进行评审（有效经济竞投文件不足6家时，按实际的有效经济竞投文件的数量进行评审），直至评审达到2家单位合格为止，并按经济竞投文件排名的先后顺序依序确定排名第一位为第一中选候选人、排名第二位的为第二中选候选人、排名第三位的为第三中选候选人。（如最终所有竞投单位的基本资料竞投文件合格者不足2家，则评审中止，由建设单位（项目需求单位）重新组织竞投）。</w:t>
      </w:r>
      <w:r>
        <w:rPr>
          <w:rFonts w:hint="eastAsia" w:ascii="宋体" w:hAnsi="宋体" w:eastAsia="宋体" w:cs="宋体"/>
          <w:szCs w:val="21"/>
        </w:rPr>
        <w:t>若第一中选</w:t>
      </w:r>
      <w:r>
        <w:rPr>
          <w:rFonts w:hint="eastAsia" w:ascii="宋体" w:hAnsi="宋体" w:eastAsia="宋体" w:cs="宋体"/>
          <w:szCs w:val="21"/>
          <w:lang w:val="fr-CH"/>
        </w:rPr>
        <w:t>候选单位</w:t>
      </w:r>
      <w:r>
        <w:rPr>
          <w:rFonts w:hint="eastAsia" w:ascii="宋体" w:hAnsi="宋体" w:eastAsia="宋体" w:cs="宋体"/>
          <w:szCs w:val="21"/>
        </w:rPr>
        <w:t>有两家或两家以上（即竞投报价相同），以绿色施工安全防护措施费高的为</w:t>
      </w:r>
      <w:r>
        <w:rPr>
          <w:rFonts w:hint="eastAsia" w:ascii="宋体" w:hAnsi="宋体" w:eastAsia="宋体" w:cs="宋体"/>
          <w:spacing w:val="-10"/>
          <w:szCs w:val="21"/>
        </w:rPr>
        <w:t>中选人。</w:t>
      </w:r>
      <w:r>
        <w:rPr>
          <w:rFonts w:hint="eastAsia" w:ascii="宋体" w:hAnsi="宋体" w:eastAsia="宋体" w:cs="宋体"/>
          <w:szCs w:val="21"/>
          <w:lang w:val="fr-CH"/>
        </w:rPr>
        <w:t>以中选单位的报价为中选价。</w:t>
      </w:r>
    </w:p>
    <w:p>
      <w:pPr>
        <w:pStyle w:val="5"/>
      </w:pPr>
      <w:r>
        <w:rPr>
          <w:rFonts w:hint="eastAsia"/>
        </w:rPr>
        <w:t>3.4 竞投文件的澄清和补正</w:t>
      </w:r>
    </w:p>
    <w:p>
      <w:pPr>
        <w:spacing w:line="360" w:lineRule="auto"/>
        <w:ind w:firstLine="420" w:firstLineChars="200"/>
        <w:rPr>
          <w:rFonts w:ascii="宋体" w:hAnsi="宋体"/>
          <w:szCs w:val="21"/>
        </w:rPr>
      </w:pPr>
      <w:r>
        <w:rPr>
          <w:rFonts w:hint="eastAsia" w:ascii="宋体" w:hAnsi="宋体"/>
          <w:szCs w:val="21"/>
        </w:rPr>
        <w:t>3.4.1 在评审过程中，评审委员会可以书面形式要求竞投单位对所提交的竞投文件中不明确的内容进行书面澄清或说明，或者对细微偏差进行补正。评审委员会不接受竞投单位主动提出的澄清、说明或补正。</w:t>
      </w:r>
    </w:p>
    <w:p>
      <w:pPr>
        <w:spacing w:line="360" w:lineRule="auto"/>
        <w:ind w:firstLine="420" w:firstLineChars="200"/>
        <w:rPr>
          <w:rFonts w:ascii="宋体" w:hAnsi="宋体"/>
          <w:szCs w:val="21"/>
        </w:rPr>
      </w:pPr>
      <w:r>
        <w:rPr>
          <w:rFonts w:hint="eastAsia" w:ascii="宋体" w:hAnsi="宋体"/>
          <w:szCs w:val="21"/>
        </w:rPr>
        <w:t>3.4.2 澄清、说明和补正不得改变竞投文件的实质性内容（算术性错误修正的除外）。竞投单位的书面澄清、说明和补正属于竞投文件的组成部分。</w:t>
      </w:r>
    </w:p>
    <w:p>
      <w:pPr>
        <w:spacing w:line="360" w:lineRule="auto"/>
        <w:ind w:firstLine="420" w:firstLineChars="200"/>
        <w:rPr>
          <w:rFonts w:ascii="宋体" w:hAnsi="宋体"/>
          <w:szCs w:val="21"/>
        </w:rPr>
      </w:pPr>
      <w:r>
        <w:rPr>
          <w:rFonts w:hint="eastAsia" w:ascii="宋体" w:hAnsi="宋体"/>
          <w:szCs w:val="21"/>
        </w:rPr>
        <w:t>3.4.3 评审委员会对竞投单位提交的澄清、说明或补正有疑问的，可以要求竞投单位进一步澄清、说明或补正，直至满足评审委员会的要求。</w:t>
      </w:r>
    </w:p>
    <w:p>
      <w:pPr>
        <w:pStyle w:val="5"/>
      </w:pPr>
      <w:r>
        <w:rPr>
          <w:rFonts w:hint="eastAsia"/>
        </w:rPr>
        <w:t>3.5 评审结果</w:t>
      </w:r>
    </w:p>
    <w:p>
      <w:pPr>
        <w:spacing w:line="360" w:lineRule="auto"/>
        <w:ind w:firstLine="420" w:firstLineChars="200"/>
        <w:rPr>
          <w:rFonts w:ascii="宋体" w:hAnsi="宋体"/>
          <w:szCs w:val="21"/>
        </w:rPr>
      </w:pPr>
      <w:r>
        <w:rPr>
          <w:rFonts w:hint="eastAsia" w:ascii="宋体" w:hAnsi="宋体"/>
          <w:szCs w:val="21"/>
        </w:rPr>
        <w:t>3.5.1 除第二章“竞投单位须知”前附表授权直接确定中选人外，评审委员会按照经评审的价格由低到高的顺序推荐中选候选人。</w:t>
      </w:r>
    </w:p>
    <w:p>
      <w:pPr>
        <w:spacing w:line="360" w:lineRule="auto"/>
        <w:ind w:firstLine="420" w:firstLineChars="200"/>
        <w:rPr>
          <w:rFonts w:ascii="宋体" w:hAnsi="宋体"/>
          <w:szCs w:val="21"/>
        </w:rPr>
      </w:pPr>
      <w:r>
        <w:rPr>
          <w:rFonts w:hint="eastAsia" w:ascii="宋体" w:hAnsi="宋体"/>
          <w:szCs w:val="21"/>
        </w:rPr>
        <w:t>3.5.2 评审委员会完成评审后，应当向建设单位（项目需求单位）提交书面评审报告。</w:t>
      </w:r>
    </w:p>
    <w:p>
      <w:pPr>
        <w:spacing w:line="430" w:lineRule="exact"/>
        <w:outlineLvl w:val="0"/>
        <w:rPr>
          <w:b/>
        </w:rPr>
      </w:pPr>
      <w:bookmarkStart w:id="113" w:name="_Toc398537340"/>
      <w:bookmarkStart w:id="114" w:name="_Toc374523638"/>
      <w:bookmarkStart w:id="115" w:name="_Toc477771282"/>
      <w:bookmarkStart w:id="116" w:name="_Toc427572513"/>
      <w:bookmarkStart w:id="117" w:name="_Toc381691759"/>
      <w:r>
        <w:rPr>
          <w:rFonts w:hint="eastAsia" w:ascii="Arial" w:hAnsi="Arial"/>
          <w:b/>
          <w:bCs/>
          <w:szCs w:val="28"/>
        </w:rPr>
        <w:t>3.6</w:t>
      </w:r>
      <w:r>
        <w:rPr>
          <w:rFonts w:hint="eastAsia"/>
          <w:b/>
        </w:rPr>
        <w:t>特殊情况的处置程序</w:t>
      </w:r>
      <w:bookmarkEnd w:id="113"/>
      <w:bookmarkEnd w:id="114"/>
      <w:bookmarkEnd w:id="115"/>
      <w:bookmarkEnd w:id="116"/>
      <w:bookmarkEnd w:id="117"/>
    </w:p>
    <w:p>
      <w:pPr>
        <w:spacing w:line="430" w:lineRule="exact"/>
        <w:outlineLvl w:val="0"/>
        <w:rPr>
          <w:b/>
        </w:rPr>
      </w:pPr>
      <w:bookmarkStart w:id="118" w:name="_Toc427572514"/>
      <w:bookmarkStart w:id="119" w:name="_Toc477771283"/>
      <w:bookmarkStart w:id="120" w:name="_Toc398537341"/>
      <w:bookmarkStart w:id="121" w:name="_Toc374523639"/>
      <w:bookmarkStart w:id="122" w:name="_Toc381691760"/>
      <w:r>
        <w:rPr>
          <w:rFonts w:hint="eastAsia"/>
          <w:b/>
        </w:rPr>
        <w:t>3.6.1关于评审活动暂停</w:t>
      </w:r>
      <w:bookmarkEnd w:id="118"/>
      <w:bookmarkEnd w:id="119"/>
      <w:bookmarkEnd w:id="120"/>
      <w:bookmarkEnd w:id="121"/>
      <w:bookmarkEnd w:id="122"/>
    </w:p>
    <w:p>
      <w:pPr>
        <w:spacing w:line="430" w:lineRule="exact"/>
        <w:ind w:firstLine="420" w:firstLineChars="200"/>
        <w:rPr>
          <w:rFonts w:ascii="宋体" w:hAnsi="宋体" w:eastAsia="宋体" w:cs="宋体"/>
        </w:rPr>
      </w:pPr>
      <w:r>
        <w:rPr>
          <w:rFonts w:hint="eastAsia" w:ascii="宋体" w:hAnsi="宋体" w:eastAsia="宋体" w:cs="宋体"/>
        </w:rPr>
        <w:t>3.6.1.1评审委员会应当执行连续评审的原则，按评审办法中规定的程序、内容、方法、标准完成全部评审工作。只有发生不可抗力导致评审工作无法继续时，评审活动方可暂停。</w:t>
      </w:r>
    </w:p>
    <w:p>
      <w:pPr>
        <w:spacing w:line="430" w:lineRule="exact"/>
        <w:ind w:firstLine="420" w:firstLineChars="200"/>
      </w:pPr>
      <w:r>
        <w:rPr>
          <w:rFonts w:hint="eastAsia" w:ascii="宋体" w:hAnsi="宋体" w:eastAsia="宋体" w:cs="宋体"/>
        </w:rPr>
        <w:t>3.6.1.2发生评审</w:t>
      </w:r>
      <w:r>
        <w:rPr>
          <w:rFonts w:hint="eastAsia"/>
        </w:rPr>
        <w:t>暂停情况时，评审委员会应当封存全部竞投文件和评审记录，待不可抗力的影响结束且具备继续评审的条件时，由原评审委员会继续评审。</w:t>
      </w:r>
    </w:p>
    <w:p>
      <w:pPr>
        <w:spacing w:line="430" w:lineRule="exact"/>
        <w:rPr>
          <w:b/>
        </w:rPr>
      </w:pPr>
      <w:r>
        <w:rPr>
          <w:rFonts w:hint="eastAsia"/>
          <w:b/>
        </w:rPr>
        <w:t>3.6.2关于评审中途更换评审委员会成员</w:t>
      </w:r>
    </w:p>
    <w:p>
      <w:pPr>
        <w:spacing w:line="430" w:lineRule="exact"/>
        <w:ind w:firstLine="420" w:firstLineChars="200"/>
        <w:rPr>
          <w:rFonts w:ascii="宋体" w:hAnsi="宋体" w:eastAsia="宋体" w:cs="宋体"/>
        </w:rPr>
      </w:pPr>
      <w:r>
        <w:rPr>
          <w:rFonts w:hint="eastAsia" w:ascii="宋体" w:hAnsi="宋体" w:eastAsia="宋体" w:cs="宋体"/>
        </w:rPr>
        <w:t>3.6.2.1除非发生下列情况之一，评审委员会成员不得在评审中途更换：</w:t>
      </w:r>
    </w:p>
    <w:p>
      <w:pPr>
        <w:spacing w:line="430" w:lineRule="exact"/>
        <w:ind w:firstLine="420" w:firstLineChars="200"/>
        <w:rPr>
          <w:rFonts w:ascii="宋体" w:hAnsi="宋体" w:eastAsia="宋体" w:cs="宋体"/>
        </w:rPr>
      </w:pPr>
      <w:r>
        <w:rPr>
          <w:rFonts w:hint="eastAsia" w:ascii="宋体" w:hAnsi="宋体" w:eastAsia="宋体" w:cs="宋体"/>
        </w:rPr>
        <w:t>（1）因不可抗拒的客观原因，不能到场或需在评审中途退出评审活动。</w:t>
      </w:r>
    </w:p>
    <w:p>
      <w:pPr>
        <w:spacing w:line="430" w:lineRule="exact"/>
        <w:ind w:firstLine="420" w:firstLineChars="200"/>
        <w:rPr>
          <w:rFonts w:ascii="宋体" w:hAnsi="宋体" w:eastAsia="宋体" w:cs="宋体"/>
        </w:rPr>
      </w:pPr>
      <w:r>
        <w:rPr>
          <w:rFonts w:hint="eastAsia" w:ascii="宋体" w:hAnsi="宋体" w:eastAsia="宋体" w:cs="宋体"/>
        </w:rPr>
        <w:t>（2）根据法律法规规定，某个或某几个评审委员会成员需要回避。</w:t>
      </w:r>
    </w:p>
    <w:p>
      <w:pPr>
        <w:spacing w:line="430" w:lineRule="exact"/>
        <w:ind w:firstLine="420" w:firstLineChars="200"/>
      </w:pPr>
      <w:r>
        <w:rPr>
          <w:rFonts w:hint="eastAsia" w:ascii="宋体" w:hAnsi="宋体" w:eastAsia="宋体" w:cs="宋体"/>
        </w:rPr>
        <w:t>3.6.2.2退出评</w:t>
      </w:r>
      <w:r>
        <w:rPr>
          <w:rFonts w:hint="eastAsia"/>
        </w:rPr>
        <w:t>审的评审委员会成员，其已完成的评审行为无效。由建设单位（项目需求单位）根据本项目需求书规定的评审委员会成员产生方式另行确定替代者进行评审。</w:t>
      </w:r>
    </w:p>
    <w:p>
      <w:pPr>
        <w:spacing w:line="430" w:lineRule="exact"/>
        <w:rPr>
          <w:b/>
        </w:rPr>
      </w:pPr>
      <w:bookmarkStart w:id="123" w:name="_Toc398537342"/>
      <w:bookmarkStart w:id="124" w:name="_Toc427572515"/>
      <w:bookmarkStart w:id="125" w:name="_Toc374523640"/>
      <w:bookmarkStart w:id="126" w:name="_Toc381691761"/>
      <w:r>
        <w:rPr>
          <w:rFonts w:hint="eastAsia"/>
          <w:b/>
        </w:rPr>
        <w:t>3.6.3记名投票</w:t>
      </w:r>
      <w:bookmarkEnd w:id="123"/>
      <w:bookmarkEnd w:id="124"/>
      <w:bookmarkEnd w:id="125"/>
      <w:bookmarkEnd w:id="126"/>
    </w:p>
    <w:p>
      <w:pPr>
        <w:spacing w:line="430" w:lineRule="exact"/>
        <w:ind w:firstLine="420" w:firstLineChars="200"/>
      </w:pPr>
      <w:r>
        <w:rPr>
          <w:rFonts w:hint="eastAsia"/>
        </w:rPr>
        <w:t>在任何评审环节中，需评审委员会就某项定性的评审结论做出表决的，由评审委员会全体成员按照少数服从多数的原则，以记名投票方式表决。</w:t>
      </w: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3"/>
        <w:jc w:val="center"/>
        <w:rPr>
          <w:szCs w:val="32"/>
        </w:rPr>
      </w:pPr>
      <w:bookmarkStart w:id="127" w:name="_Toc477771284"/>
      <w:bookmarkStart w:id="128" w:name="_Toc381691762"/>
      <w:r>
        <w:rPr>
          <w:rFonts w:hint="eastAsia"/>
          <w:szCs w:val="32"/>
        </w:rPr>
        <w:t>第四章 合同条款及格式</w:t>
      </w:r>
      <w:bookmarkEnd w:id="127"/>
      <w:bookmarkEnd w:id="128"/>
    </w:p>
    <w:p>
      <w:pPr>
        <w:spacing w:line="360" w:lineRule="auto"/>
        <w:ind w:firstLine="420" w:firstLineChars="200"/>
        <w:rPr>
          <w:rFonts w:ascii="宋体" w:hAnsi="宋体"/>
          <w:szCs w:val="21"/>
        </w:rPr>
      </w:pPr>
    </w:p>
    <w:p>
      <w:pPr>
        <w:spacing w:line="360" w:lineRule="auto"/>
        <w:ind w:firstLine="420" w:firstLineChars="200"/>
        <w:jc w:val="center"/>
        <w:rPr>
          <w:rFonts w:ascii="宋体" w:hAnsi="宋体"/>
          <w:szCs w:val="21"/>
        </w:rPr>
        <w:sectPr>
          <w:pgSz w:w="11906" w:h="16838"/>
          <w:pgMar w:top="1701" w:right="1418" w:bottom="1418" w:left="1418" w:header="851" w:footer="992" w:gutter="0"/>
          <w:cols w:space="720" w:num="1"/>
          <w:docGrid w:linePitch="312" w:charSpace="0"/>
        </w:sectPr>
      </w:pPr>
      <w:r>
        <w:rPr>
          <w:rFonts w:hint="eastAsia" w:ascii="宋体" w:hAnsi="宋体"/>
          <w:szCs w:val="21"/>
        </w:rPr>
        <w:t>（采用《广东省建设工程标准施工合同》20</w:t>
      </w:r>
      <w:r>
        <w:rPr>
          <w:rFonts w:hint="eastAsia" w:ascii="宋体" w:hAnsi="宋体"/>
          <w:szCs w:val="21"/>
          <w:lang w:val="en-US" w:eastAsia="zh-CN"/>
        </w:rPr>
        <w:t>17</w:t>
      </w:r>
      <w:r>
        <w:rPr>
          <w:rFonts w:hint="eastAsia" w:ascii="宋体" w:hAnsi="宋体"/>
          <w:szCs w:val="21"/>
        </w:rPr>
        <w:t>版）</w:t>
      </w:r>
    </w:p>
    <w:p>
      <w:pPr>
        <w:pStyle w:val="3"/>
        <w:jc w:val="center"/>
      </w:pPr>
      <w:bookmarkStart w:id="129" w:name="_Toc477771285"/>
      <w:r>
        <w:rPr>
          <w:rFonts w:hint="eastAsia"/>
        </w:rPr>
        <w:t>第五章 工程量清单及工程量清单计价</w:t>
      </w:r>
      <w:bookmarkEnd w:id="129"/>
    </w:p>
    <w:p>
      <w:pPr>
        <w:rPr>
          <w:rFonts w:ascii="宋体" w:hAnsi="宋体"/>
          <w:szCs w:val="21"/>
        </w:rPr>
      </w:pPr>
    </w:p>
    <w:p>
      <w:pPr>
        <w:spacing w:line="360" w:lineRule="auto"/>
        <w:rPr>
          <w:rFonts w:ascii="宋体" w:hAnsi="宋体"/>
          <w:b/>
          <w:szCs w:val="21"/>
        </w:rPr>
      </w:pPr>
      <w:r>
        <w:rPr>
          <w:rFonts w:hint="eastAsia" w:ascii="宋体" w:hAnsi="宋体"/>
          <w:b/>
          <w:szCs w:val="21"/>
        </w:rPr>
        <w:t>1、一般规定</w:t>
      </w:r>
    </w:p>
    <w:p>
      <w:pPr>
        <w:spacing w:line="360" w:lineRule="auto"/>
        <w:rPr>
          <w:rFonts w:ascii="宋体" w:hAnsi="宋体"/>
          <w:szCs w:val="21"/>
        </w:rPr>
      </w:pPr>
      <w:r>
        <w:rPr>
          <w:rFonts w:hint="eastAsia" w:ascii="宋体" w:hAnsi="宋体"/>
          <w:szCs w:val="21"/>
        </w:rPr>
        <w:t>1.1采用工程量清单及工程量清单计价的应遵循有关工程量清单计价规范、工程量计算规范的国家标准及省、市建设主管部门的相关规定。</w:t>
      </w:r>
    </w:p>
    <w:p>
      <w:pPr>
        <w:spacing w:line="360" w:lineRule="auto"/>
        <w:rPr>
          <w:rFonts w:ascii="宋体" w:hAnsi="宋体"/>
          <w:b/>
          <w:szCs w:val="21"/>
        </w:rPr>
      </w:pPr>
      <w:r>
        <w:rPr>
          <w:rFonts w:hint="eastAsia" w:ascii="宋体" w:hAnsi="宋体"/>
          <w:b/>
          <w:szCs w:val="21"/>
        </w:rPr>
        <w:t>2、工程量清单说明</w:t>
      </w:r>
    </w:p>
    <w:p>
      <w:pPr>
        <w:spacing w:line="360" w:lineRule="auto"/>
        <w:rPr>
          <w:rFonts w:ascii="宋体" w:hAnsi="宋体"/>
          <w:szCs w:val="21"/>
        </w:rPr>
      </w:pPr>
      <w:r>
        <w:rPr>
          <w:rFonts w:hint="eastAsia" w:ascii="宋体" w:hAnsi="宋体"/>
          <w:szCs w:val="21"/>
        </w:rPr>
        <w:t>2.1工程量清单由</w:t>
      </w:r>
      <w:r>
        <w:rPr>
          <w:rFonts w:hint="eastAsia" w:ascii="宋体" w:hAnsi="宋体"/>
          <w:b/>
          <w:szCs w:val="21"/>
          <w:u w:val="single"/>
        </w:rPr>
        <w:t xml:space="preserve"> </w:t>
      </w:r>
      <w:r>
        <w:rPr>
          <w:rFonts w:hint="eastAsia" w:ascii="宋体" w:hAnsi="宋体"/>
          <w:b w:val="0"/>
          <w:bCs/>
          <w:szCs w:val="21"/>
          <w:u w:val="single"/>
          <w:lang w:val="en-US" w:eastAsia="zh-CN"/>
        </w:rPr>
        <w:t>广东皓盈工程管理咨询有限公司</w:t>
      </w:r>
      <w:r>
        <w:rPr>
          <w:rFonts w:hint="eastAsia" w:ascii="宋体" w:hAnsi="宋体"/>
          <w:b/>
          <w:szCs w:val="21"/>
          <w:u w:val="single"/>
        </w:rPr>
        <w:t xml:space="preserve"> </w:t>
      </w:r>
      <w:r>
        <w:rPr>
          <w:rFonts w:hint="eastAsia" w:ascii="宋体" w:hAnsi="宋体"/>
          <w:szCs w:val="21"/>
        </w:rPr>
        <w:t>编制，其准确性和完整性由建设单位（项目需求单位）负责。</w:t>
      </w:r>
    </w:p>
    <w:p>
      <w:pPr>
        <w:spacing w:line="360" w:lineRule="auto"/>
        <w:rPr>
          <w:rFonts w:ascii="宋体" w:hAnsi="宋体"/>
          <w:szCs w:val="21"/>
        </w:rPr>
      </w:pPr>
      <w:r>
        <w:rPr>
          <w:rFonts w:hint="eastAsia" w:ascii="宋体" w:hAnsi="宋体"/>
          <w:szCs w:val="21"/>
        </w:rPr>
        <w:t>2.2 本工程量清单的主要编制依据包括但不限于下列内容：</w:t>
      </w:r>
    </w:p>
    <w:p>
      <w:pPr>
        <w:spacing w:line="360" w:lineRule="auto"/>
        <w:rPr>
          <w:rFonts w:ascii="宋体" w:hAnsi="宋体"/>
          <w:szCs w:val="21"/>
        </w:rPr>
      </w:pPr>
      <w:r>
        <w:rPr>
          <w:rFonts w:hint="eastAsia" w:ascii="宋体" w:hAnsi="宋体"/>
          <w:szCs w:val="21"/>
        </w:rPr>
        <w:t>（1）、有关工程量清单计价规范、工程量计算规范的国家标准</w:t>
      </w:r>
    </w:p>
    <w:p>
      <w:pPr>
        <w:spacing w:line="360" w:lineRule="auto"/>
        <w:rPr>
          <w:rFonts w:ascii="宋体" w:hAnsi="宋体"/>
          <w:szCs w:val="21"/>
        </w:rPr>
      </w:pPr>
      <w:r>
        <w:rPr>
          <w:rFonts w:hint="eastAsia" w:ascii="宋体" w:hAnsi="宋体"/>
          <w:szCs w:val="21"/>
        </w:rPr>
        <w:t>（2）、《建筑工程建筑面积计算规范》（GB/T50353-2005）</w:t>
      </w:r>
    </w:p>
    <w:p>
      <w:pPr>
        <w:spacing w:line="360" w:lineRule="auto"/>
        <w:rPr>
          <w:rFonts w:ascii="宋体" w:hAnsi="宋体"/>
          <w:szCs w:val="21"/>
        </w:rPr>
      </w:pPr>
      <w:r>
        <w:rPr>
          <w:rFonts w:hint="eastAsia" w:ascii="宋体" w:hAnsi="宋体"/>
          <w:szCs w:val="21"/>
        </w:rPr>
        <w:t>（3）、广东省建设工程计价通则、计价依据及有关计价规定</w:t>
      </w:r>
    </w:p>
    <w:p>
      <w:pPr>
        <w:spacing w:line="360" w:lineRule="auto"/>
        <w:rPr>
          <w:rFonts w:ascii="宋体" w:hAnsi="宋体"/>
          <w:szCs w:val="21"/>
        </w:rPr>
      </w:pPr>
      <w:r>
        <w:rPr>
          <w:rFonts w:hint="eastAsia" w:ascii="宋体" w:hAnsi="宋体"/>
          <w:szCs w:val="21"/>
        </w:rPr>
        <w:t>（4）、建设工程施工设计文件</w:t>
      </w:r>
    </w:p>
    <w:p>
      <w:pPr>
        <w:spacing w:line="360" w:lineRule="auto"/>
        <w:rPr>
          <w:rFonts w:ascii="宋体" w:hAnsi="宋体"/>
          <w:szCs w:val="21"/>
        </w:rPr>
      </w:pPr>
      <w:r>
        <w:rPr>
          <w:rFonts w:hint="eastAsia" w:ascii="宋体" w:hAnsi="宋体"/>
          <w:szCs w:val="21"/>
        </w:rPr>
        <w:t>（5）、与建设工程项目有关的标准、规范、技术资料</w:t>
      </w:r>
    </w:p>
    <w:p>
      <w:pPr>
        <w:spacing w:line="360" w:lineRule="auto"/>
        <w:rPr>
          <w:rFonts w:ascii="宋体" w:hAnsi="宋体"/>
          <w:szCs w:val="21"/>
        </w:rPr>
      </w:pPr>
      <w:r>
        <w:rPr>
          <w:rFonts w:hint="eastAsia" w:ascii="宋体" w:hAnsi="宋体"/>
          <w:szCs w:val="21"/>
        </w:rPr>
        <w:t>（6）、项目需求书及其补充通知、答疑文件</w:t>
      </w:r>
    </w:p>
    <w:p>
      <w:pPr>
        <w:spacing w:line="360" w:lineRule="auto"/>
        <w:rPr>
          <w:rFonts w:ascii="宋体" w:hAnsi="宋体"/>
          <w:szCs w:val="21"/>
        </w:rPr>
      </w:pPr>
      <w:r>
        <w:rPr>
          <w:rFonts w:hint="eastAsia" w:ascii="宋体" w:hAnsi="宋体"/>
          <w:szCs w:val="21"/>
        </w:rPr>
        <w:t>（7）、施工现场情况、工程特点及常规施工方案</w:t>
      </w:r>
    </w:p>
    <w:p>
      <w:pPr>
        <w:spacing w:line="360" w:lineRule="auto"/>
        <w:rPr>
          <w:rFonts w:ascii="宋体" w:hAnsi="宋体"/>
          <w:szCs w:val="21"/>
        </w:rPr>
      </w:pPr>
      <w:r>
        <w:rPr>
          <w:rFonts w:hint="eastAsia" w:ascii="宋体" w:hAnsi="宋体"/>
          <w:szCs w:val="21"/>
        </w:rPr>
        <w:t>（8）、其他依据：</w:t>
      </w:r>
      <w:r>
        <w:rPr>
          <w:rFonts w:hint="eastAsia" w:ascii="宋体" w:hAnsi="宋体"/>
          <w:szCs w:val="21"/>
          <w:u w:val="single"/>
        </w:rPr>
        <w:t xml:space="preserve">              /               </w:t>
      </w:r>
    </w:p>
    <w:p>
      <w:pPr>
        <w:spacing w:line="360" w:lineRule="auto"/>
        <w:rPr>
          <w:rFonts w:ascii="宋体" w:hAnsi="宋体"/>
          <w:szCs w:val="21"/>
        </w:rPr>
      </w:pPr>
      <w:r>
        <w:rPr>
          <w:rFonts w:hint="eastAsia" w:ascii="宋体" w:hAnsi="宋体"/>
          <w:szCs w:val="21"/>
        </w:rPr>
        <w:t>2.3 本工程量清单应与项目需求书中竞投单位须知、合同条款、技术标准和要求、图纸及有关工程量清单计价规范、工程量计算规范的国家标准等一起阅读和理解。</w:t>
      </w:r>
    </w:p>
    <w:p>
      <w:pPr>
        <w:spacing w:line="360" w:lineRule="auto"/>
        <w:rPr>
          <w:rFonts w:ascii="宋体" w:hAnsi="宋体"/>
          <w:szCs w:val="21"/>
        </w:rPr>
      </w:pPr>
      <w:r>
        <w:rPr>
          <w:rFonts w:hint="eastAsia" w:ascii="宋体" w:hAnsi="宋体"/>
          <w:szCs w:val="21"/>
        </w:rPr>
        <w:t>2.4 本工程量清单标明的工程量是竞投报价的共同基础。实际工程计量和工程价款的支付应遵循合同条款的约定和第七章“技术标准和要求”的有关规定。</w:t>
      </w:r>
    </w:p>
    <w:p>
      <w:pPr>
        <w:spacing w:line="360" w:lineRule="auto"/>
        <w:rPr>
          <w:rFonts w:ascii="宋体" w:hAnsi="宋体"/>
          <w:szCs w:val="21"/>
          <w:u w:val="single"/>
        </w:rPr>
      </w:pPr>
      <w:r>
        <w:rPr>
          <w:rFonts w:hint="eastAsia" w:ascii="宋体" w:hAnsi="宋体"/>
          <w:szCs w:val="21"/>
        </w:rPr>
        <w:t>2.5 补充的工程量清单已按有关工程量清单计价规范、工程量计算规范的国家标准的要求编制。其项目编码、项目名称、项目特征、计量单位、工程量计算规则、工程内容的说明如下：</w:t>
      </w:r>
      <w:r>
        <w:rPr>
          <w:rFonts w:hint="eastAsia" w:ascii="宋体" w:hAnsi="宋体"/>
          <w:szCs w:val="21"/>
          <w:u w:val="single"/>
        </w:rPr>
        <w:t xml:space="preserve">      /               </w:t>
      </w:r>
    </w:p>
    <w:p>
      <w:pPr>
        <w:spacing w:line="360" w:lineRule="auto"/>
        <w:rPr>
          <w:rFonts w:ascii="宋体" w:hAnsi="宋体"/>
          <w:szCs w:val="21"/>
        </w:rPr>
      </w:pPr>
      <w:r>
        <w:rPr>
          <w:rFonts w:hint="eastAsia" w:ascii="宋体" w:hAnsi="宋体"/>
          <w:szCs w:val="21"/>
        </w:rPr>
        <w:t>2.6分部分项工程量清单（包括可采用分部分项工程量清单方式编制的可以计算工程量的措施项目）已公布项目编码、项目名称、项目特征、计量单位、工程量。（公布的项目特征为项目的主要特征或工作内容，次要的特征或工作内容虽未具体说明，但均已考虑在内）</w:t>
      </w:r>
    </w:p>
    <w:p>
      <w:pPr>
        <w:spacing w:line="360" w:lineRule="auto"/>
        <w:rPr>
          <w:rFonts w:ascii="宋体" w:hAnsi="宋体"/>
          <w:szCs w:val="21"/>
        </w:rPr>
      </w:pPr>
      <w:r>
        <w:rPr>
          <w:rFonts w:hint="eastAsia" w:ascii="宋体" w:hAnsi="宋体"/>
          <w:szCs w:val="21"/>
        </w:rPr>
        <w:t>2.7 暂列金额的数量及有关说明：</w:t>
      </w:r>
      <w:r>
        <w:rPr>
          <w:rFonts w:hint="eastAsia" w:ascii="宋体" w:hAnsi="宋体"/>
          <w:szCs w:val="21"/>
          <w:u w:val="single"/>
        </w:rPr>
        <w:t xml:space="preserve">                       /                                 </w:t>
      </w:r>
    </w:p>
    <w:p>
      <w:pPr>
        <w:spacing w:line="360" w:lineRule="auto"/>
        <w:rPr>
          <w:rFonts w:ascii="宋体" w:hAnsi="宋体"/>
          <w:szCs w:val="21"/>
        </w:rPr>
      </w:pPr>
      <w:r>
        <w:rPr>
          <w:rFonts w:hint="eastAsia" w:ascii="宋体" w:hAnsi="宋体"/>
          <w:szCs w:val="21"/>
        </w:rPr>
        <w:t>2.8 计日工的数量及有关说明：</w:t>
      </w:r>
      <w:r>
        <w:rPr>
          <w:rFonts w:hint="eastAsia" w:ascii="宋体" w:hAnsi="宋体"/>
          <w:szCs w:val="21"/>
          <w:u w:val="single"/>
        </w:rPr>
        <w:t xml:space="preserve">                         /                                 </w:t>
      </w:r>
    </w:p>
    <w:p>
      <w:pPr>
        <w:spacing w:line="360" w:lineRule="auto"/>
        <w:rPr>
          <w:rFonts w:ascii="宋体" w:hAnsi="宋体"/>
          <w:szCs w:val="21"/>
        </w:rPr>
      </w:pPr>
      <w:r>
        <w:rPr>
          <w:rFonts w:hint="eastAsia" w:ascii="宋体" w:hAnsi="宋体"/>
          <w:szCs w:val="21"/>
        </w:rPr>
        <w:t>2.9 暂估价的内容、数量及有关说明：</w:t>
      </w:r>
      <w:r>
        <w:rPr>
          <w:rFonts w:hint="eastAsia" w:ascii="宋体" w:hAnsi="宋体"/>
          <w:szCs w:val="21"/>
          <w:u w:val="single"/>
        </w:rPr>
        <w:t xml:space="preserve">                   /                                 </w:t>
      </w:r>
    </w:p>
    <w:p>
      <w:pPr>
        <w:spacing w:line="360" w:lineRule="auto"/>
        <w:rPr>
          <w:rFonts w:ascii="宋体" w:hAnsi="宋体"/>
          <w:szCs w:val="21"/>
        </w:rPr>
      </w:pPr>
      <w:r>
        <w:rPr>
          <w:rFonts w:hint="eastAsia" w:ascii="宋体" w:hAnsi="宋体"/>
          <w:szCs w:val="21"/>
        </w:rPr>
        <w:t>2.10 其他需要说明的事项：</w:t>
      </w:r>
      <w:r>
        <w:rPr>
          <w:rFonts w:hint="eastAsia" w:ascii="宋体" w:hAnsi="宋体"/>
          <w:szCs w:val="21"/>
          <w:u w:val="single"/>
        </w:rPr>
        <w:t xml:space="preserve">   （工程量清单编制说明中重要的内容可在此说明）                                               </w:t>
      </w:r>
    </w:p>
    <w:p>
      <w:pPr>
        <w:spacing w:line="360" w:lineRule="auto"/>
        <w:rPr>
          <w:rFonts w:ascii="宋体" w:hAnsi="宋体"/>
          <w:b/>
          <w:szCs w:val="21"/>
        </w:rPr>
      </w:pPr>
      <w:r>
        <w:rPr>
          <w:rFonts w:hint="eastAsia" w:ascii="宋体" w:hAnsi="宋体"/>
          <w:b/>
          <w:szCs w:val="21"/>
        </w:rPr>
        <w:t>3、竞投控制价说明</w:t>
      </w:r>
    </w:p>
    <w:p>
      <w:pPr>
        <w:spacing w:line="360" w:lineRule="auto"/>
        <w:rPr>
          <w:rFonts w:ascii="宋体" w:hAnsi="宋体"/>
          <w:szCs w:val="21"/>
        </w:rPr>
      </w:pPr>
      <w:r>
        <w:rPr>
          <w:rFonts w:hint="eastAsia" w:ascii="宋体" w:hAnsi="宋体"/>
          <w:szCs w:val="21"/>
        </w:rPr>
        <w:t>3.1竞投控制价由</w:t>
      </w:r>
      <w:r>
        <w:rPr>
          <w:rFonts w:hint="eastAsia" w:ascii="宋体" w:hAnsi="宋体"/>
          <w:b/>
          <w:szCs w:val="21"/>
          <w:u w:val="single"/>
        </w:rPr>
        <w:t xml:space="preserve"> </w:t>
      </w:r>
      <w:r>
        <w:rPr>
          <w:rFonts w:hint="eastAsia" w:ascii="宋体" w:hAnsi="宋体"/>
          <w:b w:val="0"/>
          <w:bCs/>
          <w:szCs w:val="21"/>
          <w:u w:val="single"/>
          <w:lang w:val="en-US" w:eastAsia="zh-CN"/>
        </w:rPr>
        <w:t>广东皓盈工程管理咨询有限公司</w:t>
      </w:r>
      <w:r>
        <w:rPr>
          <w:rFonts w:hint="eastAsia" w:ascii="宋体" w:hAnsi="宋体"/>
          <w:b/>
          <w:szCs w:val="21"/>
          <w:u w:val="single"/>
        </w:rPr>
        <w:t xml:space="preserve"> </w:t>
      </w:r>
      <w:r>
        <w:rPr>
          <w:rFonts w:hint="eastAsia" w:ascii="宋体" w:hAnsi="宋体"/>
          <w:szCs w:val="21"/>
        </w:rPr>
        <w:t xml:space="preserve">编制。 </w:t>
      </w:r>
    </w:p>
    <w:p>
      <w:pPr>
        <w:spacing w:line="360" w:lineRule="auto"/>
        <w:rPr>
          <w:rFonts w:ascii="宋体" w:hAnsi="宋体"/>
          <w:szCs w:val="21"/>
        </w:rPr>
      </w:pPr>
      <w:r>
        <w:rPr>
          <w:rFonts w:hint="eastAsia" w:ascii="宋体" w:hAnsi="宋体"/>
          <w:szCs w:val="21"/>
        </w:rPr>
        <w:t>3.2竞投控制价主要编制依据包括但不限于下列内容：</w:t>
      </w:r>
    </w:p>
    <w:p>
      <w:pPr>
        <w:spacing w:line="360" w:lineRule="auto"/>
        <w:rPr>
          <w:rFonts w:ascii="宋体" w:hAnsi="宋体"/>
          <w:szCs w:val="21"/>
        </w:rPr>
      </w:pPr>
      <w:r>
        <w:rPr>
          <w:rFonts w:hint="eastAsia" w:ascii="宋体" w:hAnsi="宋体"/>
          <w:szCs w:val="21"/>
        </w:rPr>
        <w:t>（1）、有关工程量清单计价规范、工程量计算规范的国家标准</w:t>
      </w:r>
    </w:p>
    <w:p>
      <w:pPr>
        <w:spacing w:line="360" w:lineRule="auto"/>
        <w:rPr>
          <w:rFonts w:ascii="宋体" w:hAnsi="宋体"/>
          <w:szCs w:val="21"/>
        </w:rPr>
      </w:pPr>
      <w:r>
        <w:rPr>
          <w:rFonts w:hint="eastAsia" w:ascii="宋体" w:hAnsi="宋体"/>
          <w:szCs w:val="21"/>
        </w:rPr>
        <w:t>（2）、《建筑工程建筑面积计算规范》（GB/T50353-2005）</w:t>
      </w:r>
    </w:p>
    <w:p>
      <w:pPr>
        <w:spacing w:line="360" w:lineRule="auto"/>
        <w:rPr>
          <w:rFonts w:ascii="宋体" w:hAnsi="宋体"/>
          <w:szCs w:val="21"/>
        </w:rPr>
      </w:pPr>
      <w:r>
        <w:rPr>
          <w:rFonts w:hint="eastAsia" w:ascii="宋体" w:hAnsi="宋体"/>
          <w:szCs w:val="21"/>
        </w:rPr>
        <w:t>（3）、项目需求书（含工程量清单）及有关要求</w:t>
      </w:r>
    </w:p>
    <w:p>
      <w:pPr>
        <w:spacing w:line="360" w:lineRule="auto"/>
        <w:rPr>
          <w:rFonts w:ascii="宋体" w:hAnsi="宋体"/>
          <w:szCs w:val="21"/>
        </w:rPr>
      </w:pPr>
      <w:r>
        <w:rPr>
          <w:rFonts w:hint="eastAsia" w:ascii="宋体" w:hAnsi="宋体"/>
          <w:szCs w:val="21"/>
        </w:rPr>
        <w:t>（4）、广东省建设工程计价规程、计价依据及有关计价规定</w:t>
      </w:r>
    </w:p>
    <w:p>
      <w:pPr>
        <w:spacing w:line="360" w:lineRule="auto"/>
        <w:rPr>
          <w:rFonts w:ascii="宋体" w:hAnsi="宋体"/>
          <w:szCs w:val="21"/>
        </w:rPr>
      </w:pPr>
      <w:r>
        <w:rPr>
          <w:rFonts w:hint="eastAsia" w:ascii="宋体" w:hAnsi="宋体"/>
          <w:szCs w:val="21"/>
        </w:rPr>
        <w:t>（5）、建设工程施工设计文件</w:t>
      </w:r>
    </w:p>
    <w:p>
      <w:pPr>
        <w:spacing w:line="360" w:lineRule="auto"/>
        <w:rPr>
          <w:rFonts w:ascii="宋体" w:hAnsi="宋体"/>
          <w:szCs w:val="21"/>
        </w:rPr>
      </w:pPr>
      <w:r>
        <w:rPr>
          <w:rFonts w:hint="eastAsia" w:ascii="宋体" w:hAnsi="宋体"/>
          <w:szCs w:val="21"/>
        </w:rPr>
        <w:t>（6）、与建设工程项目有关的标准、规范、技术资料</w:t>
      </w:r>
    </w:p>
    <w:p>
      <w:pPr>
        <w:spacing w:line="360" w:lineRule="auto"/>
        <w:rPr>
          <w:rFonts w:ascii="宋体" w:hAnsi="宋体"/>
          <w:szCs w:val="21"/>
        </w:rPr>
      </w:pPr>
      <w:r>
        <w:rPr>
          <w:rFonts w:hint="eastAsia" w:ascii="宋体" w:hAnsi="宋体"/>
          <w:szCs w:val="21"/>
        </w:rPr>
        <w:t>（7）、工程造价管理机构发布的工程造价信息；工程造价信息没有的，参考市场价。或建设单位（项目需求单位）能提供可信、有依据的材料单价。</w:t>
      </w:r>
    </w:p>
    <w:p>
      <w:pPr>
        <w:spacing w:line="360" w:lineRule="auto"/>
        <w:rPr>
          <w:rFonts w:ascii="宋体" w:hAnsi="宋体"/>
          <w:szCs w:val="21"/>
        </w:rPr>
      </w:pPr>
      <w:r>
        <w:rPr>
          <w:rFonts w:hint="eastAsia" w:ascii="宋体" w:hAnsi="宋体"/>
          <w:szCs w:val="21"/>
        </w:rPr>
        <w:t>（8）、施工现场情况、工程特点及常规施工方案</w:t>
      </w:r>
    </w:p>
    <w:p>
      <w:pPr>
        <w:spacing w:line="360" w:lineRule="auto"/>
        <w:rPr>
          <w:rFonts w:ascii="宋体" w:hAnsi="宋体"/>
          <w:szCs w:val="21"/>
        </w:rPr>
      </w:pPr>
      <w:r>
        <w:rPr>
          <w:rFonts w:hint="eastAsia" w:ascii="宋体" w:hAnsi="宋体"/>
          <w:szCs w:val="21"/>
        </w:rPr>
        <w:t>（9）、其他依据：</w:t>
      </w:r>
      <w:r>
        <w:rPr>
          <w:rFonts w:hint="eastAsia" w:ascii="宋体" w:hAnsi="宋体"/>
          <w:szCs w:val="21"/>
          <w:u w:val="single"/>
        </w:rPr>
        <w:t xml:space="preserve">               /              </w:t>
      </w:r>
    </w:p>
    <w:p>
      <w:pPr>
        <w:spacing w:line="360" w:lineRule="auto"/>
        <w:rPr>
          <w:rFonts w:ascii="宋体" w:hAnsi="宋体"/>
          <w:szCs w:val="21"/>
        </w:rPr>
      </w:pPr>
      <w:r>
        <w:rPr>
          <w:rFonts w:hint="eastAsia" w:ascii="宋体" w:hAnsi="宋体"/>
          <w:szCs w:val="21"/>
        </w:rPr>
        <w:t>3.3 竞投控制价应单独公布绿色施工安全防护措施费用。</w:t>
      </w:r>
    </w:p>
    <w:p>
      <w:pPr>
        <w:spacing w:line="360" w:lineRule="auto"/>
        <w:rPr>
          <w:rFonts w:ascii="宋体" w:hAnsi="宋体"/>
          <w:szCs w:val="21"/>
        </w:rPr>
      </w:pPr>
      <w:r>
        <w:rPr>
          <w:rFonts w:hint="eastAsia" w:ascii="宋体" w:hAnsi="宋体"/>
          <w:szCs w:val="21"/>
        </w:rPr>
        <w:t>3.4其他需要说明的事项：</w:t>
      </w:r>
      <w:r>
        <w:rPr>
          <w:rFonts w:hint="eastAsia" w:ascii="宋体" w:hAnsi="宋体"/>
          <w:szCs w:val="21"/>
          <w:u w:val="single"/>
        </w:rPr>
        <w:t xml:space="preserve">   （竞投控制价编制说明中重要的内容可在此说明）                            </w:t>
      </w:r>
    </w:p>
    <w:p>
      <w:pPr>
        <w:spacing w:line="360" w:lineRule="auto"/>
        <w:rPr>
          <w:rFonts w:ascii="宋体" w:hAnsi="宋体"/>
          <w:b/>
          <w:szCs w:val="21"/>
        </w:rPr>
      </w:pPr>
      <w:r>
        <w:rPr>
          <w:rFonts w:hint="eastAsia" w:ascii="宋体" w:hAnsi="宋体"/>
          <w:b/>
          <w:szCs w:val="21"/>
        </w:rPr>
        <w:t>4 竞投报价上限值说明</w:t>
      </w:r>
    </w:p>
    <w:p>
      <w:pPr>
        <w:spacing w:line="360" w:lineRule="auto"/>
        <w:rPr>
          <w:rFonts w:ascii="宋体" w:hAnsi="宋体"/>
          <w:b/>
          <w:color w:val="FF0000"/>
          <w:szCs w:val="21"/>
        </w:rPr>
      </w:pPr>
      <w:r>
        <w:rPr>
          <w:rFonts w:hint="eastAsia" w:ascii="宋体" w:hAnsi="宋体"/>
          <w:b/>
          <w:color w:val="FF0000"/>
          <w:szCs w:val="21"/>
        </w:rPr>
        <w:t>4.1 竞投报价上限值评审现场公布。</w:t>
      </w:r>
    </w:p>
    <w:p>
      <w:pPr>
        <w:spacing w:line="360" w:lineRule="auto"/>
        <w:rPr>
          <w:rFonts w:ascii="宋体" w:hAnsi="宋体"/>
          <w:b/>
          <w:szCs w:val="21"/>
        </w:rPr>
      </w:pPr>
      <w:r>
        <w:rPr>
          <w:rFonts w:hint="eastAsia" w:ascii="宋体" w:hAnsi="宋体"/>
          <w:b/>
          <w:szCs w:val="21"/>
        </w:rPr>
        <w:t>5、工程量清单竞投报价说明</w:t>
      </w:r>
    </w:p>
    <w:p>
      <w:pPr>
        <w:spacing w:line="360" w:lineRule="auto"/>
        <w:rPr>
          <w:rFonts w:ascii="宋体" w:hAnsi="宋体"/>
          <w:szCs w:val="21"/>
        </w:rPr>
      </w:pPr>
      <w:r>
        <w:rPr>
          <w:rFonts w:hint="eastAsia" w:ascii="宋体" w:hAnsi="宋体"/>
          <w:szCs w:val="21"/>
        </w:rPr>
        <w:t xml:space="preserve">5.1 工程量清单竞投报价应按3.7.3的要求签字盖章，并由竞投单位的造价师（造价员）编制、签字；或委托具有相应资质的工程造价咨询公司编制、签字。（适用于纸质竞投文件） </w:t>
      </w:r>
    </w:p>
    <w:p>
      <w:pPr>
        <w:spacing w:line="360" w:lineRule="auto"/>
        <w:rPr>
          <w:rFonts w:ascii="宋体" w:hAnsi="宋体"/>
          <w:szCs w:val="21"/>
        </w:rPr>
      </w:pPr>
      <w:r>
        <w:rPr>
          <w:rFonts w:hint="eastAsia" w:ascii="宋体" w:hAnsi="宋体"/>
          <w:szCs w:val="21"/>
        </w:rPr>
        <w:t>5.2 每一个工程量清单须填入单价和合价，且只允许有一个报价。若没有填入单价和合价的，视为已包含在工程量清单的其他单价和合价中。</w:t>
      </w:r>
    </w:p>
    <w:p>
      <w:pPr>
        <w:spacing w:line="360" w:lineRule="auto"/>
        <w:rPr>
          <w:rFonts w:ascii="宋体" w:hAnsi="宋体"/>
          <w:szCs w:val="21"/>
        </w:rPr>
      </w:pPr>
      <w:r>
        <w:rPr>
          <w:rFonts w:hint="eastAsia" w:ascii="宋体" w:hAnsi="宋体"/>
          <w:szCs w:val="21"/>
        </w:rPr>
        <w:t>5.3 分部分项工程量清单、措施项目清单的单价或金额应包括所需的人工费、材料费、施工机械使用费和企业管理费与利润，以及项目需求书和第四章“合同条款及格式”约定的风险内容及其范围（幅度）。</w:t>
      </w:r>
    </w:p>
    <w:p>
      <w:pPr>
        <w:spacing w:line="360" w:lineRule="auto"/>
        <w:rPr>
          <w:rFonts w:ascii="宋体" w:hAnsi="宋体"/>
          <w:szCs w:val="21"/>
        </w:rPr>
      </w:pPr>
      <w:r>
        <w:rPr>
          <w:rFonts w:hint="eastAsia" w:ascii="宋体" w:hAnsi="宋体"/>
          <w:szCs w:val="21"/>
        </w:rPr>
        <w:t>5.4绿色施工安全防护措施费用应按国家或省、市建设主管部门的规定计价且不得低于建设单位（项目需求单位）公布的绿色施工安全防护措施费用。</w:t>
      </w:r>
    </w:p>
    <w:p>
      <w:pPr>
        <w:spacing w:line="360" w:lineRule="auto"/>
        <w:rPr>
          <w:rFonts w:ascii="宋体" w:hAnsi="宋体"/>
          <w:szCs w:val="21"/>
        </w:rPr>
      </w:pPr>
      <w:r>
        <w:rPr>
          <w:rFonts w:hint="eastAsia" w:ascii="宋体" w:hAnsi="宋体"/>
          <w:szCs w:val="21"/>
        </w:rPr>
        <w:t>5.5 规费和税金应按国家或省、市相关部门的规定计价。</w:t>
      </w:r>
    </w:p>
    <w:p>
      <w:pPr>
        <w:spacing w:line="360" w:lineRule="auto"/>
        <w:rPr>
          <w:rFonts w:ascii="宋体" w:hAnsi="宋体"/>
          <w:szCs w:val="21"/>
        </w:rPr>
      </w:pPr>
      <w:r>
        <w:rPr>
          <w:rFonts w:hint="eastAsia" w:ascii="宋体" w:hAnsi="宋体"/>
          <w:szCs w:val="21"/>
        </w:rPr>
        <w:t>5.6 竞投报价的明细程度应至综合单价分析表。</w:t>
      </w:r>
    </w:p>
    <w:p>
      <w:pPr>
        <w:spacing w:line="360" w:lineRule="auto"/>
        <w:rPr>
          <w:rFonts w:ascii="宋体" w:hAnsi="宋体"/>
          <w:szCs w:val="21"/>
        </w:rPr>
      </w:pPr>
      <w:r>
        <w:rPr>
          <w:rFonts w:hint="eastAsia" w:ascii="宋体" w:hAnsi="宋体"/>
          <w:szCs w:val="21"/>
        </w:rPr>
        <w:t>5.7竞投报价应包括材料价格明细表或按项目需求书的要求提供相应的材料价格表。</w:t>
      </w:r>
    </w:p>
    <w:p>
      <w:pPr>
        <w:spacing w:line="360" w:lineRule="auto"/>
        <w:rPr>
          <w:rFonts w:ascii="宋体" w:hAnsi="宋体"/>
          <w:b/>
          <w:szCs w:val="21"/>
        </w:rPr>
      </w:pPr>
      <w:r>
        <w:rPr>
          <w:rFonts w:hint="eastAsia" w:ascii="宋体" w:hAnsi="宋体"/>
          <w:b/>
          <w:szCs w:val="21"/>
        </w:rPr>
        <w:t>6、其他说明</w:t>
      </w:r>
    </w:p>
    <w:p>
      <w:pPr>
        <w:spacing w:line="360" w:lineRule="auto"/>
        <w:rPr>
          <w:rFonts w:ascii="宋体" w:hAnsi="宋体"/>
          <w:szCs w:val="21"/>
        </w:rPr>
      </w:pPr>
      <w:r>
        <w:rPr>
          <w:rFonts w:hint="eastAsia" w:ascii="宋体" w:hAnsi="宋体"/>
          <w:szCs w:val="21"/>
        </w:rPr>
        <w:t>6.1 工程量清单计价表格组成及格式按有关工程量清单计价规范、工程量计算规范的国家标准的规定选用（须与项目需求书同时发出）。</w:t>
      </w:r>
    </w:p>
    <w:p>
      <w:pPr>
        <w:spacing w:line="360" w:lineRule="auto"/>
        <w:rPr>
          <w:rFonts w:ascii="宋体" w:hAnsi="宋体"/>
          <w:szCs w:val="21"/>
        </w:rPr>
      </w:pPr>
      <w:r>
        <w:rPr>
          <w:rFonts w:hint="eastAsia" w:ascii="宋体" w:hAnsi="宋体"/>
          <w:szCs w:val="21"/>
        </w:rPr>
        <w:t>6.2 若存在以下情况，按废标处理：</w:t>
      </w:r>
    </w:p>
    <w:p>
      <w:pPr>
        <w:spacing w:line="360" w:lineRule="auto"/>
        <w:rPr>
          <w:rFonts w:ascii="宋体" w:hAnsi="宋体"/>
          <w:szCs w:val="21"/>
        </w:rPr>
      </w:pPr>
      <w:r>
        <w:rPr>
          <w:rFonts w:hint="eastAsia" w:ascii="宋体" w:hAnsi="宋体"/>
          <w:szCs w:val="21"/>
        </w:rPr>
        <w:t xml:space="preserve">（1）竞投报价没有按5.1的要求编制的（适用于纸质竞投文件）； </w:t>
      </w:r>
    </w:p>
    <w:p>
      <w:pPr>
        <w:spacing w:line="360" w:lineRule="auto"/>
        <w:rPr>
          <w:rFonts w:ascii="宋体" w:hAnsi="宋体"/>
          <w:szCs w:val="21"/>
        </w:rPr>
      </w:pPr>
      <w:r>
        <w:rPr>
          <w:rFonts w:hint="eastAsia" w:ascii="宋体" w:hAnsi="宋体"/>
          <w:szCs w:val="21"/>
        </w:rPr>
        <w:t>（2）竞投报价高于竞投报价上限价的；</w:t>
      </w:r>
    </w:p>
    <w:p>
      <w:pPr>
        <w:spacing w:line="360" w:lineRule="auto"/>
        <w:rPr>
          <w:rFonts w:ascii="宋体" w:hAnsi="宋体"/>
          <w:szCs w:val="21"/>
        </w:rPr>
      </w:pPr>
      <w:r>
        <w:rPr>
          <w:rFonts w:hint="eastAsia" w:ascii="宋体" w:hAnsi="宋体"/>
          <w:szCs w:val="21"/>
        </w:rPr>
        <w:t>（3）竞投报价中绿色施工安全防护措施费用未按要求单列的；</w:t>
      </w:r>
    </w:p>
    <w:p>
      <w:pPr>
        <w:spacing w:line="360" w:lineRule="auto"/>
        <w:rPr>
          <w:rFonts w:ascii="宋体" w:hAnsi="宋体"/>
          <w:szCs w:val="21"/>
        </w:rPr>
      </w:pPr>
      <w:r>
        <w:rPr>
          <w:rFonts w:hint="eastAsia" w:ascii="宋体" w:hAnsi="宋体"/>
          <w:szCs w:val="21"/>
        </w:rPr>
        <w:t>（4）竞投报价中绿色施工安全防护措施低于建设单位（项目需求单位）公布的绿色施工安全防护措施费用的；</w:t>
      </w:r>
    </w:p>
    <w:p>
      <w:pPr>
        <w:spacing w:line="360" w:lineRule="auto"/>
        <w:rPr>
          <w:rFonts w:ascii="宋体" w:hAnsi="宋体"/>
          <w:szCs w:val="21"/>
        </w:rPr>
      </w:pPr>
      <w:r>
        <w:rPr>
          <w:rFonts w:hint="eastAsia" w:ascii="宋体" w:hAnsi="宋体"/>
          <w:szCs w:val="21"/>
        </w:rPr>
        <w:t>（5）竞投报价中的分部分项工程量清单的项目编码项目、项目名称、项目特征、计量单位、工程量与建设单位（项目需求单位）提供的不一致的；</w:t>
      </w:r>
    </w:p>
    <w:p>
      <w:pPr>
        <w:spacing w:line="360" w:lineRule="auto"/>
        <w:rPr>
          <w:rFonts w:ascii="宋体" w:hAnsi="宋体"/>
          <w:szCs w:val="21"/>
        </w:rPr>
      </w:pPr>
      <w:r>
        <w:rPr>
          <w:rFonts w:hint="eastAsia" w:ascii="宋体" w:hAnsi="宋体"/>
          <w:szCs w:val="21"/>
        </w:rPr>
        <w:t>（6）竞投报价中的规费、税金不按规定计算的。</w:t>
      </w:r>
    </w:p>
    <w:p>
      <w:pPr>
        <w:spacing w:line="360" w:lineRule="auto"/>
        <w:rPr>
          <w:rFonts w:ascii="宋体" w:hAnsi="宋体"/>
          <w:szCs w:val="21"/>
        </w:rPr>
      </w:pPr>
      <w:r>
        <w:rPr>
          <w:rFonts w:hint="eastAsia" w:ascii="宋体" w:hAnsi="宋体"/>
          <w:szCs w:val="21"/>
        </w:rPr>
        <w:t>（7）竞投报价中的竞投总价或各个单项工程总价通过乘以系数或直接增减金额来调整价格的。</w:t>
      </w:r>
    </w:p>
    <w:p>
      <w:pPr>
        <w:spacing w:line="360" w:lineRule="auto"/>
        <w:rPr>
          <w:rFonts w:ascii="宋体" w:hAnsi="宋体"/>
          <w:szCs w:val="21"/>
        </w:rPr>
      </w:pPr>
      <w:r>
        <w:rPr>
          <w:rFonts w:hint="eastAsia" w:ascii="宋体" w:hAnsi="宋体"/>
          <w:szCs w:val="21"/>
        </w:rPr>
        <w:t>（8）竞投报价中没有综合单价分析表的。</w:t>
      </w:r>
    </w:p>
    <w:p>
      <w:pPr>
        <w:spacing w:line="360" w:lineRule="auto"/>
        <w:rPr>
          <w:rFonts w:ascii="宋体" w:hAnsi="宋体"/>
          <w:szCs w:val="21"/>
        </w:rPr>
      </w:pPr>
      <w:r>
        <w:rPr>
          <w:rFonts w:hint="eastAsia" w:ascii="宋体" w:hAnsi="宋体"/>
          <w:szCs w:val="21"/>
        </w:rPr>
        <w:t>（9）竞投报价中没有材料价格明细表的。</w:t>
      </w:r>
    </w:p>
    <w:p>
      <w:pPr>
        <w:spacing w:line="360" w:lineRule="auto"/>
        <w:rPr>
          <w:rFonts w:ascii="宋体" w:hAnsi="宋体"/>
          <w:szCs w:val="21"/>
        </w:rPr>
      </w:pPr>
      <w:r>
        <w:rPr>
          <w:rFonts w:hint="eastAsia" w:ascii="宋体" w:hAnsi="宋体"/>
          <w:szCs w:val="21"/>
        </w:rPr>
        <w:t>（10）工程量综合单价分析表的综合单价乘以系数来调整价格的。</w:t>
      </w:r>
    </w:p>
    <w:p>
      <w:pPr>
        <w:spacing w:line="360" w:lineRule="auto"/>
        <w:rPr>
          <w:rFonts w:ascii="宋体" w:hAnsi="宋体"/>
          <w:szCs w:val="21"/>
        </w:rPr>
      </w:pPr>
      <w:r>
        <w:rPr>
          <w:rFonts w:hint="eastAsia" w:ascii="宋体" w:hAnsi="宋体"/>
          <w:szCs w:val="21"/>
        </w:rPr>
        <w:t>（11）工程量综合单价分析表的人工费或材料费或机械费乘以系数调整价格的。</w:t>
      </w:r>
    </w:p>
    <w:p>
      <w:pPr>
        <w:spacing w:line="360" w:lineRule="auto"/>
        <w:rPr>
          <w:rFonts w:ascii="宋体" w:hAnsi="宋体"/>
          <w:szCs w:val="21"/>
        </w:rPr>
      </w:pPr>
      <w:r>
        <w:rPr>
          <w:rFonts w:hint="eastAsia" w:ascii="宋体" w:hAnsi="宋体"/>
          <w:szCs w:val="21"/>
        </w:rPr>
        <w:t>（12）工程量综合单价分析表的总价与人工费、材料费、机械费、管理费、利润之和相差较大的。（因计算过程由于小数位四舍五入导致的误差除外）。</w:t>
      </w:r>
    </w:p>
    <w:p>
      <w:pPr>
        <w:spacing w:line="360" w:lineRule="auto"/>
        <w:rPr>
          <w:rFonts w:ascii="宋体" w:hAnsi="宋体"/>
          <w:szCs w:val="21"/>
        </w:rPr>
      </w:pPr>
      <w:r>
        <w:rPr>
          <w:rFonts w:hint="eastAsia" w:ascii="宋体" w:hAnsi="宋体"/>
          <w:szCs w:val="21"/>
        </w:rPr>
        <w:t>（13）暂列金额、材料暂估单价、专业工程暂估价未按照竞投控制价中公布的相应金额报价的。</w:t>
      </w:r>
    </w:p>
    <w:p>
      <w:pPr>
        <w:spacing w:line="360" w:lineRule="auto"/>
        <w:rPr>
          <w:rFonts w:ascii="宋体" w:hAnsi="宋体"/>
          <w:szCs w:val="21"/>
        </w:rPr>
      </w:pPr>
      <w:r>
        <w:rPr>
          <w:rFonts w:hint="eastAsia" w:ascii="宋体" w:hAnsi="宋体"/>
          <w:szCs w:val="21"/>
        </w:rPr>
        <w:t>（14）任何报价出现负数的。</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3"/>
        <w:jc w:val="center"/>
        <w:sectPr>
          <w:pgSz w:w="11906" w:h="16838"/>
          <w:pgMar w:top="1701" w:right="1418" w:bottom="1418" w:left="1418" w:header="851" w:footer="992" w:gutter="0"/>
          <w:cols w:space="720" w:num="1"/>
          <w:docGrid w:linePitch="312" w:charSpace="0"/>
        </w:sectPr>
      </w:pPr>
      <w:bookmarkStart w:id="130" w:name="_Toc381691763"/>
      <w:bookmarkStart w:id="131" w:name="_Toc184635129"/>
      <w:bookmarkStart w:id="132" w:name="_Toc477771286"/>
      <w:r>
        <w:rPr>
          <w:rFonts w:hint="eastAsia"/>
        </w:rPr>
        <w:t>第二</w:t>
      </w:r>
      <w:r>
        <w:rPr>
          <w:rFonts w:hint="eastAsia"/>
          <w:szCs w:val="32"/>
        </w:rPr>
        <w:t>卷</w:t>
      </w:r>
      <w:bookmarkEnd w:id="130"/>
      <w:bookmarkEnd w:id="131"/>
      <w:bookmarkEnd w:id="132"/>
    </w:p>
    <w:p>
      <w:pPr>
        <w:pStyle w:val="4"/>
        <w:numPr>
          <w:ilvl w:val="0"/>
          <w:numId w:val="3"/>
        </w:numPr>
        <w:jc w:val="center"/>
        <w:rPr>
          <w:rFonts w:hint="eastAsia"/>
        </w:rPr>
      </w:pPr>
      <w:bookmarkStart w:id="133" w:name="_Toc381691764"/>
      <w:bookmarkStart w:id="134" w:name="_Toc477771287"/>
      <w:r>
        <w:rPr>
          <w:rFonts w:hint="eastAsia"/>
        </w:rPr>
        <w:t>图纸</w:t>
      </w:r>
      <w:bookmarkEnd w:id="133"/>
      <w:bookmarkEnd w:id="134"/>
      <w:bookmarkStart w:id="135" w:name="_Toc381691765"/>
      <w:bookmarkStart w:id="136" w:name="_Toc477771288"/>
      <w:bookmarkStart w:id="137" w:name="_Toc398537346"/>
      <w:bookmarkStart w:id="138" w:name="_Toc184635131"/>
      <w:bookmarkStart w:id="139" w:name="_Toc427572520"/>
    </w:p>
    <w:p>
      <w:pPr>
        <w:pStyle w:val="4"/>
        <w:numPr>
          <w:ilvl w:val="0"/>
          <w:numId w:val="0"/>
        </w:numPr>
      </w:pPr>
      <w:r>
        <w:rPr>
          <w:rFonts w:hint="eastAsia"/>
        </w:rPr>
        <w:t>1、图纸目录</w:t>
      </w:r>
      <w:bookmarkEnd w:id="135"/>
      <w:bookmarkEnd w:id="136"/>
      <w:bookmarkEnd w:id="137"/>
      <w:bookmarkEnd w:id="138"/>
      <w:bookmarkEnd w:id="139"/>
    </w:p>
    <w:p/>
    <w:tbl>
      <w:tblPr>
        <w:tblStyle w:val="11"/>
        <w:tblW w:w="94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2143"/>
        <w:gridCol w:w="1335"/>
        <w:gridCol w:w="1577"/>
        <w:gridCol w:w="1577"/>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52" w:type="dxa"/>
            <w:vAlign w:val="center"/>
          </w:tcPr>
          <w:p>
            <w:pPr>
              <w:jc w:val="center"/>
            </w:pPr>
            <w:r>
              <w:rPr>
                <w:rFonts w:hint="eastAsia" w:ascii="宋体" w:hAnsi="宋体"/>
                <w:szCs w:val="21"/>
              </w:rPr>
              <w:t>序号</w:t>
            </w:r>
          </w:p>
        </w:tc>
        <w:tc>
          <w:tcPr>
            <w:tcW w:w="2143" w:type="dxa"/>
            <w:vAlign w:val="center"/>
          </w:tcPr>
          <w:p>
            <w:pPr>
              <w:jc w:val="center"/>
            </w:pPr>
            <w:r>
              <w:rPr>
                <w:rFonts w:hint="eastAsia" w:ascii="宋体" w:hAnsi="宋体"/>
                <w:szCs w:val="21"/>
              </w:rPr>
              <w:t>图名</w:t>
            </w:r>
          </w:p>
        </w:tc>
        <w:tc>
          <w:tcPr>
            <w:tcW w:w="1335" w:type="dxa"/>
            <w:vAlign w:val="center"/>
          </w:tcPr>
          <w:p>
            <w:pPr>
              <w:jc w:val="center"/>
            </w:pPr>
            <w:r>
              <w:rPr>
                <w:rFonts w:hint="eastAsia" w:ascii="宋体" w:hAnsi="宋体"/>
                <w:szCs w:val="21"/>
              </w:rPr>
              <w:t>图号</w:t>
            </w:r>
          </w:p>
        </w:tc>
        <w:tc>
          <w:tcPr>
            <w:tcW w:w="1577" w:type="dxa"/>
            <w:vAlign w:val="center"/>
          </w:tcPr>
          <w:p>
            <w:pPr>
              <w:jc w:val="center"/>
            </w:pPr>
            <w:r>
              <w:rPr>
                <w:rFonts w:hint="eastAsia" w:ascii="宋体" w:hAnsi="宋体"/>
                <w:szCs w:val="21"/>
              </w:rPr>
              <w:t>版本</w:t>
            </w:r>
          </w:p>
        </w:tc>
        <w:tc>
          <w:tcPr>
            <w:tcW w:w="1577" w:type="dxa"/>
            <w:vAlign w:val="center"/>
          </w:tcPr>
          <w:p>
            <w:pPr>
              <w:jc w:val="center"/>
            </w:pPr>
            <w:r>
              <w:rPr>
                <w:rFonts w:hint="eastAsia" w:ascii="宋体" w:hAnsi="宋体"/>
                <w:szCs w:val="21"/>
              </w:rPr>
              <w:t>出图日期</w:t>
            </w:r>
          </w:p>
        </w:tc>
        <w:tc>
          <w:tcPr>
            <w:tcW w:w="1578" w:type="dxa"/>
            <w:vAlign w:val="center"/>
          </w:tcPr>
          <w:p>
            <w:pPr>
              <w:jc w:val="cente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52" w:type="dxa"/>
          </w:tcPr>
          <w:p>
            <w:pPr>
              <w:spacing w:line="360" w:lineRule="auto"/>
              <w:ind w:firstLine="420" w:firstLineChars="200"/>
            </w:p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52" w:type="dxa"/>
          </w:tcPr>
          <w:p/>
        </w:tc>
        <w:tc>
          <w:tcPr>
            <w:tcW w:w="2143" w:type="dxa"/>
          </w:tcPr>
          <w:p/>
        </w:tc>
        <w:tc>
          <w:tcPr>
            <w:tcW w:w="1335" w:type="dxa"/>
          </w:tcPr>
          <w:p/>
        </w:tc>
        <w:tc>
          <w:tcPr>
            <w:tcW w:w="1577" w:type="dxa"/>
          </w:tcPr>
          <w:p/>
        </w:tc>
        <w:tc>
          <w:tcPr>
            <w:tcW w:w="1577" w:type="dxa"/>
          </w:tcPr>
          <w:p/>
        </w:tc>
        <w:tc>
          <w:tcPr>
            <w:tcW w:w="1578" w:type="dxa"/>
          </w:tcPr>
          <w:p/>
        </w:tc>
      </w:tr>
    </w:tbl>
    <w:p>
      <w:pPr>
        <w:sectPr>
          <w:pgSz w:w="11906" w:h="16838"/>
          <w:pgMar w:top="1701" w:right="1418" w:bottom="1418" w:left="1418" w:header="851" w:footer="992" w:gutter="0"/>
          <w:cols w:space="720" w:num="1"/>
          <w:docGrid w:linePitch="312" w:charSpace="0"/>
        </w:sectPr>
      </w:pPr>
    </w:p>
    <w:p>
      <w:pPr>
        <w:pStyle w:val="3"/>
        <w:jc w:val="center"/>
        <w:sectPr>
          <w:pgSz w:w="11906" w:h="16838"/>
          <w:pgMar w:top="1701" w:right="1418" w:bottom="1418" w:left="1418" w:header="851" w:footer="992" w:gutter="0"/>
          <w:cols w:space="720" w:num="1"/>
          <w:docGrid w:linePitch="312" w:charSpace="0"/>
        </w:sectPr>
      </w:pPr>
      <w:bookmarkStart w:id="140" w:name="_Toc477771289"/>
      <w:bookmarkStart w:id="141" w:name="_Toc184635133"/>
      <w:bookmarkStart w:id="142" w:name="_Toc381691766"/>
      <w:r>
        <w:rPr>
          <w:rFonts w:hint="eastAsia"/>
        </w:rPr>
        <w:t>第三</w:t>
      </w:r>
      <w:r>
        <w:rPr>
          <w:rFonts w:hint="eastAsia"/>
          <w:szCs w:val="32"/>
        </w:rPr>
        <w:t>卷</w:t>
      </w:r>
      <w:bookmarkEnd w:id="140"/>
      <w:bookmarkEnd w:id="141"/>
      <w:bookmarkEnd w:id="142"/>
    </w:p>
    <w:p>
      <w:pPr>
        <w:pStyle w:val="3"/>
        <w:jc w:val="center"/>
      </w:pPr>
      <w:bookmarkStart w:id="143" w:name="_Toc381691767"/>
      <w:bookmarkStart w:id="144" w:name="_Toc477771290"/>
      <w:r>
        <w:rPr>
          <w:rFonts w:hint="eastAsia"/>
        </w:rPr>
        <w:t>第七章 技术标准和要求</w:t>
      </w:r>
      <w:bookmarkEnd w:id="143"/>
      <w:r>
        <w:rPr>
          <w:rFonts w:hint="eastAsia"/>
        </w:rPr>
        <w:t>（不适用于本项目）</w:t>
      </w:r>
      <w:bookmarkEnd w:id="144"/>
    </w:p>
    <w:p>
      <w:pPr>
        <w:spacing w:line="360" w:lineRule="auto"/>
        <w:rPr>
          <w:rFonts w:ascii="宋体" w:hAnsi="宋体"/>
          <w:szCs w:val="21"/>
        </w:rPr>
      </w:pPr>
      <w:r>
        <w:rPr>
          <w:rFonts w:hint="eastAsia" w:ascii="宋体" w:hAnsi="宋体"/>
          <w:szCs w:val="21"/>
        </w:rPr>
        <w:t xml:space="preserve"> </w:t>
      </w:r>
    </w:p>
    <w:p>
      <w:pPr>
        <w:spacing w:line="360" w:lineRule="auto"/>
        <w:jc w:val="center"/>
        <w:rPr>
          <w:rFonts w:ascii="宋体" w:hAnsi="宋体"/>
          <w:sz w:val="32"/>
          <w:szCs w:val="32"/>
        </w:rPr>
      </w:pPr>
      <w:r>
        <w:rPr>
          <w:rFonts w:hint="eastAsia" w:ascii="宋体" w:hAnsi="宋体"/>
          <w:sz w:val="32"/>
          <w:szCs w:val="32"/>
        </w:rPr>
        <w:t>（按设计</w:t>
      </w:r>
      <w:r>
        <w:rPr>
          <w:rFonts w:ascii="宋体" w:hAnsi="宋体"/>
          <w:sz w:val="32"/>
          <w:szCs w:val="32"/>
        </w:rPr>
        <w:t>图纸</w:t>
      </w:r>
      <w:r>
        <w:rPr>
          <w:rFonts w:hint="eastAsia" w:ascii="宋体" w:hAnsi="宋体"/>
          <w:sz w:val="32"/>
          <w:szCs w:val="32"/>
        </w:rPr>
        <w:t>及国家、行业现行技术标准、规范）</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3"/>
        <w:jc w:val="center"/>
        <w:sectPr>
          <w:pgSz w:w="11906" w:h="16838"/>
          <w:pgMar w:top="1701" w:right="1418" w:bottom="1418" w:left="1418" w:header="851" w:footer="992" w:gutter="0"/>
          <w:cols w:space="720" w:num="1"/>
          <w:docGrid w:linePitch="312" w:charSpace="0"/>
        </w:sectPr>
      </w:pPr>
      <w:bookmarkStart w:id="145" w:name="_Toc184635135"/>
      <w:bookmarkStart w:id="146" w:name="_Toc477771291"/>
      <w:bookmarkStart w:id="147" w:name="_Toc381691768"/>
      <w:r>
        <w:rPr>
          <w:rFonts w:hint="eastAsia"/>
        </w:rPr>
        <w:t>第四</w:t>
      </w:r>
      <w:r>
        <w:rPr>
          <w:rFonts w:hint="eastAsia"/>
          <w:szCs w:val="32"/>
        </w:rPr>
        <w:t>卷</w:t>
      </w:r>
      <w:bookmarkEnd w:id="145"/>
      <w:bookmarkEnd w:id="146"/>
      <w:bookmarkEnd w:id="147"/>
    </w:p>
    <w:p>
      <w:pPr>
        <w:pStyle w:val="3"/>
        <w:jc w:val="center"/>
      </w:pPr>
      <w:bookmarkStart w:id="148" w:name="_Toc381691769"/>
      <w:bookmarkStart w:id="149" w:name="_Toc477771292"/>
      <w:r>
        <w:rPr>
          <w:rFonts w:hint="eastAsia"/>
        </w:rPr>
        <w:t>第八章 竞投文件格式</w:t>
      </w:r>
      <w:bookmarkEnd w:id="148"/>
      <w:bookmarkEnd w:id="149"/>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宋体" w:hAnsi="宋体" w:eastAsia="宋体"/>
          <w:sz w:val="72"/>
          <w:szCs w:val="72"/>
        </w:rPr>
      </w:pPr>
      <w:r>
        <w:rPr>
          <w:rFonts w:hint="eastAsia" w:ascii="宋体" w:hAnsi="宋体" w:cs="宋体"/>
          <w:b/>
          <w:sz w:val="52"/>
          <w:szCs w:val="52"/>
          <w:u w:val="single"/>
        </w:rPr>
        <w:t>封套格式</w:t>
      </w: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cs="宋体"/>
          <w:sz w:val="36"/>
          <w:szCs w:val="36"/>
        </w:rPr>
      </w:pPr>
      <w:r>
        <w:rPr>
          <w:rFonts w:hint="eastAsia" w:ascii="宋体" w:hAnsi="宋体"/>
          <w:sz w:val="36"/>
          <w:szCs w:val="36"/>
        </w:rPr>
        <w:t xml:space="preserve"> </w:t>
      </w:r>
      <w:r>
        <w:rPr>
          <w:rFonts w:hint="eastAsia" w:ascii="宋体" w:hAnsi="宋体" w:cs="宋体"/>
          <w:sz w:val="36"/>
          <w:szCs w:val="36"/>
          <w:u w:val="single"/>
        </w:rPr>
        <w:t xml:space="preserve">                                        </w:t>
      </w:r>
      <w:r>
        <w:rPr>
          <w:rFonts w:hint="eastAsia" w:ascii="宋体" w:hAnsi="宋体" w:cs="宋体"/>
          <w:sz w:val="36"/>
          <w:szCs w:val="36"/>
        </w:rPr>
        <w:t>竞投文件</w:t>
      </w:r>
    </w:p>
    <w:p>
      <w:pPr>
        <w:spacing w:line="360" w:lineRule="auto"/>
        <w:rPr>
          <w:rFonts w:ascii="宋体" w:hAnsi="宋体" w:eastAsia="宋体"/>
          <w:sz w:val="72"/>
          <w:szCs w:val="72"/>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jc w:val="center"/>
        <w:rPr>
          <w:rFonts w:ascii="宋体" w:hAnsi="宋体" w:eastAsia="宋体"/>
          <w:sz w:val="36"/>
          <w:szCs w:val="36"/>
        </w:rPr>
      </w:pPr>
      <w:r>
        <w:rPr>
          <w:rFonts w:hint="eastAsia" w:ascii="宋体" w:hAnsi="宋体"/>
          <w:sz w:val="36"/>
          <w:szCs w:val="36"/>
        </w:rPr>
        <w:t>资格竞投文件/基本资料竞投文件/经济竞投文件</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jc w:val="center"/>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       建设单位（项目需求单位）地址：</w:t>
      </w:r>
    </w:p>
    <w:p>
      <w:pPr>
        <w:spacing w:line="480" w:lineRule="auto"/>
        <w:rPr>
          <w:rFonts w:ascii="宋体" w:hAnsi="宋体" w:cs="宋体"/>
          <w:sz w:val="24"/>
        </w:rPr>
      </w:pPr>
      <w:r>
        <w:rPr>
          <w:rFonts w:hint="eastAsia" w:ascii="宋体" w:hAnsi="宋体" w:cs="宋体"/>
          <w:sz w:val="24"/>
        </w:rPr>
        <w:t xml:space="preserve">       建设单位（项目需求单位）名称：</w:t>
      </w:r>
    </w:p>
    <w:p>
      <w:pPr>
        <w:spacing w:line="480" w:lineRule="auto"/>
        <w:rPr>
          <w:rFonts w:ascii="宋体" w:hAnsi="宋体"/>
          <w:sz w:val="24"/>
        </w:rPr>
      </w:pPr>
      <w:r>
        <w:rPr>
          <w:rFonts w:hint="eastAsia" w:ascii="宋体" w:hAnsi="宋体" w:cs="宋体"/>
          <w:sz w:val="24"/>
        </w:rPr>
        <w:t xml:space="preserve">       </w:t>
      </w:r>
      <w:r>
        <w:rPr>
          <w:rFonts w:hint="eastAsia" w:ascii="宋体" w:hAnsi="宋体"/>
          <w:sz w:val="24"/>
        </w:rPr>
        <w:t>竞投单位：</w:t>
      </w:r>
      <w:r>
        <w:rPr>
          <w:rFonts w:hint="eastAsia" w:ascii="宋体" w:hAnsi="宋体"/>
          <w:sz w:val="24"/>
          <w:u w:val="single"/>
        </w:rPr>
        <w:t xml:space="preserve">                                      </w:t>
      </w:r>
      <w:r>
        <w:rPr>
          <w:rFonts w:hint="eastAsia" w:ascii="宋体" w:hAnsi="宋体"/>
          <w:sz w:val="24"/>
        </w:rPr>
        <w:t>（盖单位章）</w:t>
      </w:r>
    </w:p>
    <w:p>
      <w:pPr>
        <w:spacing w:line="480" w:lineRule="auto"/>
        <w:jc w:val="center"/>
        <w:rPr>
          <w:rFonts w:ascii="宋体" w:hAnsi="宋体"/>
          <w:sz w:val="24"/>
          <w:u w:val="single"/>
        </w:rPr>
      </w:pPr>
      <w:r>
        <w:rPr>
          <w:rFonts w:hint="eastAsia" w:ascii="宋体" w:hAnsi="宋体"/>
          <w:sz w:val="24"/>
        </w:rPr>
        <w:t>法定代表人或其授权代理人：</w:t>
      </w:r>
      <w:r>
        <w:rPr>
          <w:rFonts w:hint="eastAsia" w:ascii="宋体" w:hAnsi="宋体"/>
          <w:sz w:val="24"/>
          <w:u w:val="single"/>
        </w:rPr>
        <w:t xml:space="preserve">            </w:t>
      </w:r>
      <w:r>
        <w:rPr>
          <w:rFonts w:hint="eastAsia" w:ascii="宋体" w:hAnsi="宋体"/>
          <w:sz w:val="24"/>
        </w:rPr>
        <w:t>（签字）</w:t>
      </w:r>
    </w:p>
    <w:p>
      <w:pPr>
        <w:spacing w:line="480" w:lineRule="auto"/>
        <w:jc w:val="center"/>
        <w:rPr>
          <w:rFonts w:ascii="宋体" w:hAnsi="宋体" w:cs="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auto"/>
        <w:jc w:val="center"/>
        <w:rPr>
          <w:rFonts w:ascii="宋体" w:hAnsi="宋体" w:cs="宋体"/>
          <w:b/>
          <w:sz w:val="52"/>
          <w:szCs w:val="52"/>
          <w:u w:val="single"/>
        </w:rPr>
      </w:pPr>
      <w:r>
        <w:rPr>
          <w:rFonts w:hint="eastAsia" w:ascii="宋体" w:hAnsi="宋体" w:cs="宋体"/>
          <w:sz w:val="24"/>
        </w:rPr>
        <w:t>在20  年  月  日</w:t>
      </w:r>
      <w:r>
        <w:rPr>
          <w:rFonts w:hint="eastAsia" w:ascii="宋体" w:hAnsi="宋体" w:cs="宋体"/>
          <w:sz w:val="24"/>
          <w:lang w:val="en-US" w:eastAsia="zh-CN"/>
        </w:rPr>
        <w:t xml:space="preserve"> </w:t>
      </w:r>
      <w:r>
        <w:rPr>
          <w:rFonts w:hint="eastAsia" w:ascii="宋体" w:hAnsi="宋体" w:cs="宋体"/>
          <w:sz w:val="24"/>
        </w:rPr>
        <w:t>:00前不得开启</w:t>
      </w:r>
    </w:p>
    <w:p>
      <w:pPr>
        <w:spacing w:line="360" w:lineRule="auto"/>
        <w:jc w:val="center"/>
        <w:rPr>
          <w:rFonts w:ascii="宋体" w:hAnsi="宋体" w:cs="宋体"/>
          <w:b/>
          <w:sz w:val="52"/>
          <w:szCs w:val="52"/>
          <w:u w:val="single"/>
        </w:rPr>
      </w:pPr>
    </w:p>
    <w:p>
      <w:pPr>
        <w:spacing w:line="360" w:lineRule="auto"/>
        <w:jc w:val="center"/>
        <w:rPr>
          <w:rFonts w:ascii="宋体" w:hAnsi="宋体" w:cs="宋体"/>
          <w:b/>
          <w:sz w:val="52"/>
          <w:szCs w:val="52"/>
        </w:rPr>
      </w:pPr>
      <w:r>
        <w:rPr>
          <w:rFonts w:hint="eastAsia" w:ascii="宋体" w:hAnsi="宋体" w:cs="宋体"/>
          <w:b/>
          <w:sz w:val="52"/>
          <w:szCs w:val="52"/>
          <w:u w:val="single"/>
        </w:rPr>
        <w:t xml:space="preserve">               </w:t>
      </w:r>
      <w:r>
        <w:rPr>
          <w:rFonts w:hint="eastAsia" w:ascii="宋体" w:hAnsi="宋体" w:cs="宋体"/>
          <w:b/>
          <w:sz w:val="52"/>
          <w:szCs w:val="52"/>
        </w:rPr>
        <w:t>工程</w:t>
      </w:r>
    </w:p>
    <w:p>
      <w:pPr>
        <w:spacing w:line="360" w:lineRule="auto"/>
        <w:jc w:val="center"/>
        <w:rPr>
          <w:rFonts w:ascii="宋体" w:hAnsi="宋体"/>
          <w:sz w:val="72"/>
          <w:szCs w:val="72"/>
        </w:rPr>
      </w:pPr>
    </w:p>
    <w:p>
      <w:pPr>
        <w:spacing w:line="360" w:lineRule="auto"/>
        <w:jc w:val="center"/>
        <w:rPr>
          <w:rFonts w:ascii="宋体" w:hAnsi="宋体"/>
          <w:sz w:val="72"/>
          <w:szCs w:val="72"/>
        </w:rPr>
      </w:pPr>
    </w:p>
    <w:p>
      <w:pPr>
        <w:spacing w:line="360" w:lineRule="auto"/>
        <w:jc w:val="center"/>
        <w:rPr>
          <w:rFonts w:ascii="宋体" w:hAnsi="宋体"/>
          <w:sz w:val="72"/>
          <w:szCs w:val="72"/>
        </w:rPr>
      </w:pPr>
      <w:r>
        <w:rPr>
          <w:rFonts w:hint="eastAsia" w:ascii="宋体" w:hAnsi="宋体"/>
          <w:sz w:val="72"/>
          <w:szCs w:val="72"/>
        </w:rPr>
        <w:t>竞 投 文 件</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jc w:val="center"/>
        <w:rPr>
          <w:rFonts w:ascii="宋体" w:hAnsi="宋体"/>
          <w:sz w:val="48"/>
          <w:szCs w:val="48"/>
        </w:rPr>
      </w:pPr>
      <w:r>
        <w:rPr>
          <w:rFonts w:hint="eastAsia" w:ascii="宋体" w:hAnsi="宋体"/>
          <w:sz w:val="48"/>
          <w:szCs w:val="48"/>
        </w:rPr>
        <w:t>资格竞投文件</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宋体" w:hAnsi="宋体"/>
          <w:sz w:val="28"/>
          <w:szCs w:val="28"/>
        </w:rPr>
      </w:pPr>
      <w:r>
        <w:rPr>
          <w:rFonts w:hint="eastAsia" w:ascii="宋体" w:hAnsi="宋体"/>
          <w:sz w:val="28"/>
          <w:szCs w:val="28"/>
        </w:rPr>
        <w:t>竞投单位：</w:t>
      </w:r>
      <w:r>
        <w:rPr>
          <w:rFonts w:hint="eastAsia" w:ascii="宋体" w:hAnsi="宋体"/>
          <w:sz w:val="28"/>
          <w:szCs w:val="28"/>
          <w:u w:val="single"/>
        </w:rPr>
        <w:t xml:space="preserve">                       </w:t>
      </w:r>
      <w:r>
        <w:rPr>
          <w:rFonts w:hint="eastAsia" w:ascii="宋体" w:hAnsi="宋体"/>
          <w:sz w:val="28"/>
          <w:szCs w:val="28"/>
        </w:rPr>
        <w:t>（盖单位章）</w:t>
      </w:r>
    </w:p>
    <w:p>
      <w:pPr>
        <w:spacing w:line="360" w:lineRule="auto"/>
        <w:ind w:firstLine="560" w:firstLineChars="200"/>
        <w:rPr>
          <w:rFonts w:ascii="宋体" w:hAnsi="宋体"/>
          <w:sz w:val="28"/>
          <w:szCs w:val="28"/>
        </w:rPr>
      </w:pPr>
    </w:p>
    <w:p>
      <w:pPr>
        <w:spacing w:line="360" w:lineRule="auto"/>
        <w:ind w:firstLine="1120" w:firstLineChars="400"/>
        <w:rPr>
          <w:rFonts w:ascii="宋体" w:hAnsi="宋体"/>
          <w:sz w:val="28"/>
          <w:szCs w:val="28"/>
        </w:rPr>
      </w:pPr>
      <w:r>
        <w:rPr>
          <w:rFonts w:hint="eastAsia" w:ascii="宋体" w:hAnsi="宋体"/>
          <w:sz w:val="28"/>
          <w:szCs w:val="28"/>
        </w:rPr>
        <w:t>法定代表人或其授权代理人：</w:t>
      </w:r>
      <w:r>
        <w:rPr>
          <w:rFonts w:hint="eastAsia" w:ascii="宋体" w:hAnsi="宋体"/>
          <w:sz w:val="28"/>
          <w:szCs w:val="28"/>
          <w:u w:val="single"/>
        </w:rPr>
        <w:t xml:space="preserve">            </w:t>
      </w:r>
      <w:r>
        <w:rPr>
          <w:rFonts w:hint="eastAsia" w:ascii="宋体" w:hAnsi="宋体"/>
          <w:sz w:val="28"/>
          <w:szCs w:val="28"/>
        </w:rPr>
        <w:t>（签字）</w:t>
      </w:r>
    </w:p>
    <w:p>
      <w:pPr>
        <w:spacing w:line="360" w:lineRule="auto"/>
        <w:jc w:val="center"/>
        <w:rPr>
          <w:rFonts w:ascii="宋体" w:hAnsi="宋体"/>
          <w:szCs w:val="21"/>
          <w:u w:val="single"/>
        </w:rPr>
      </w:pPr>
    </w:p>
    <w:p>
      <w:pPr>
        <w:spacing w:line="360" w:lineRule="auto"/>
        <w:jc w:val="center"/>
        <w:rPr>
          <w:rFonts w:ascii="宋体" w:hAnsi="宋体"/>
          <w:sz w:val="28"/>
          <w:szCs w:val="28"/>
        </w:rPr>
      </w:pPr>
      <w:r>
        <w:rPr>
          <w:rFonts w:hint="eastAsia" w:ascii="宋体" w:hAnsi="宋体"/>
          <w:szCs w:val="21"/>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360" w:lineRule="auto"/>
        <w:jc w:val="left"/>
        <w:rPr>
          <w:rFonts w:ascii="宋体" w:hAnsi="宋体"/>
          <w:szCs w:val="21"/>
        </w:rPr>
      </w:pPr>
    </w:p>
    <w:p>
      <w:pPr>
        <w:spacing w:line="360" w:lineRule="auto"/>
        <w:jc w:val="left"/>
        <w:rPr>
          <w:rFonts w:ascii="宋体" w:hAnsi="宋体"/>
          <w:szCs w:val="21"/>
        </w:rPr>
      </w:pPr>
      <w:r>
        <w:rPr>
          <w:rFonts w:hint="eastAsia" w:ascii="宋体" w:hAnsi="宋体"/>
          <w:szCs w:val="21"/>
        </w:rPr>
        <w:t>说明：本封面仅供参考，格式由竞投单位自定，但必须包括工程名称、“正本”或“副本”字样（电子标书免）、“资格竞投文件”或“资格竞投文件”字样、竞投单位名称、竞投单位单位公章、竞投单位法定代表人或其法定授权代理人签字。</w:t>
      </w:r>
    </w:p>
    <w:p>
      <w:pPr>
        <w:spacing w:line="360" w:lineRule="auto"/>
        <w:jc w:val="left"/>
        <w:rPr>
          <w:rFonts w:ascii="宋体" w:hAnsi="宋体"/>
          <w:szCs w:val="21"/>
        </w:rPr>
        <w:sectPr>
          <w:pgSz w:w="11906" w:h="16838"/>
          <w:pgMar w:top="1701" w:right="1418" w:bottom="1418" w:left="1418" w:header="851" w:footer="992" w:gutter="0"/>
          <w:cols w:space="720" w:num="1"/>
          <w:docGrid w:linePitch="312" w:charSpace="0"/>
        </w:sectPr>
      </w:pPr>
    </w:p>
    <w:p>
      <w:pPr>
        <w:pStyle w:val="4"/>
        <w:jc w:val="center"/>
        <w:rPr>
          <w:sz w:val="28"/>
          <w:szCs w:val="28"/>
        </w:rPr>
      </w:pPr>
      <w:bookmarkStart w:id="150" w:name="_Toc427572525"/>
      <w:bookmarkStart w:id="151" w:name="_Toc420140017"/>
      <w:bookmarkStart w:id="152" w:name="_Toc477771293"/>
      <w:r>
        <w:rPr>
          <w:rFonts w:hint="eastAsia"/>
          <w:sz w:val="28"/>
          <w:szCs w:val="28"/>
        </w:rPr>
        <w:t>目  录</w:t>
      </w:r>
      <w:bookmarkEnd w:id="150"/>
      <w:bookmarkEnd w:id="151"/>
      <w:bookmarkEnd w:id="152"/>
    </w:p>
    <w:p>
      <w:pPr>
        <w:spacing w:line="360" w:lineRule="auto"/>
        <w:ind w:firstLine="422" w:firstLineChars="200"/>
        <w:jc w:val="center"/>
        <w:rPr>
          <w:rFonts w:ascii="宋体" w:hAnsi="宋体"/>
          <w:b/>
          <w:szCs w:val="21"/>
        </w:rPr>
      </w:pPr>
    </w:p>
    <w:p>
      <w:pPr>
        <w:spacing w:line="360" w:lineRule="auto"/>
        <w:jc w:val="center"/>
        <w:rPr>
          <w:rFonts w:ascii="宋体" w:hAnsi="宋体"/>
          <w:sz w:val="24"/>
        </w:rPr>
      </w:pPr>
      <w:r>
        <w:rPr>
          <w:rFonts w:hint="eastAsia" w:ascii="宋体" w:hAnsi="宋体"/>
          <w:sz w:val="24"/>
        </w:rPr>
        <w:t>资格竞投文件</w:t>
      </w:r>
    </w:p>
    <w:p>
      <w:pPr>
        <w:spacing w:line="360" w:lineRule="auto"/>
        <w:ind w:firstLine="420" w:firstLineChars="200"/>
        <w:jc w:val="center"/>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一、有效法定代表人证明（原件）及法定代表人身份证复印件（加盖公章）；</w:t>
      </w:r>
    </w:p>
    <w:p>
      <w:pPr>
        <w:spacing w:line="360" w:lineRule="auto"/>
        <w:ind w:firstLine="420" w:firstLineChars="200"/>
        <w:rPr>
          <w:rFonts w:ascii="宋体" w:hAnsi="宋体"/>
          <w:szCs w:val="21"/>
        </w:rPr>
      </w:pPr>
      <w:r>
        <w:rPr>
          <w:rFonts w:hint="eastAsia" w:ascii="宋体" w:hAnsi="宋体"/>
          <w:szCs w:val="21"/>
        </w:rPr>
        <w:t>二、授权委托书（原件）及法定授权代理人身份证（加盖公章）（法定授权代理人参加竞投的提供）（原件）；</w:t>
      </w:r>
    </w:p>
    <w:p>
      <w:pPr>
        <w:spacing w:line="360" w:lineRule="auto"/>
        <w:ind w:firstLine="420" w:firstLineChars="200"/>
        <w:rPr>
          <w:rFonts w:ascii="宋体" w:hAnsi="宋体"/>
          <w:color w:val="FF0000"/>
          <w:szCs w:val="21"/>
        </w:rPr>
      </w:pPr>
      <w:r>
        <w:rPr>
          <w:rFonts w:hint="eastAsia" w:ascii="宋体" w:hAnsi="宋体"/>
          <w:szCs w:val="21"/>
        </w:rPr>
        <w:t>三、有效的营业执照复印件（加盖公章）；</w:t>
      </w:r>
    </w:p>
    <w:p>
      <w:pPr>
        <w:spacing w:line="360" w:lineRule="auto"/>
        <w:ind w:firstLine="420" w:firstLineChars="200"/>
        <w:rPr>
          <w:rFonts w:ascii="宋体" w:hAnsi="宋体"/>
          <w:szCs w:val="21"/>
        </w:rPr>
      </w:pPr>
      <w:r>
        <w:rPr>
          <w:rFonts w:hint="eastAsia" w:ascii="宋体" w:hAnsi="宋体"/>
          <w:szCs w:val="21"/>
        </w:rPr>
        <w:t>四、资质证书复印件（加盖公章）；</w:t>
      </w:r>
    </w:p>
    <w:p>
      <w:pPr>
        <w:spacing w:line="360" w:lineRule="auto"/>
        <w:ind w:firstLine="420" w:firstLineChars="200"/>
        <w:rPr>
          <w:rFonts w:ascii="宋体" w:hAnsi="宋体"/>
          <w:szCs w:val="21"/>
        </w:rPr>
      </w:pPr>
      <w:r>
        <w:rPr>
          <w:rFonts w:hint="eastAsia" w:ascii="宋体" w:hAnsi="宋体"/>
          <w:szCs w:val="21"/>
        </w:rPr>
        <w:t>五、安全生产许可证复印件（加盖公章）；</w:t>
      </w:r>
    </w:p>
    <w:p>
      <w:pPr>
        <w:spacing w:line="360" w:lineRule="auto"/>
        <w:ind w:firstLine="420" w:firstLineChars="200"/>
        <w:rPr>
          <w:rFonts w:ascii="宋体" w:hAnsi="宋体"/>
          <w:szCs w:val="21"/>
        </w:rPr>
      </w:pPr>
      <w:r>
        <w:rPr>
          <w:rFonts w:hint="eastAsia" w:ascii="宋体" w:hAnsi="宋体"/>
          <w:szCs w:val="21"/>
        </w:rPr>
        <w:t>六、竞投保证金收据复印件；</w:t>
      </w:r>
    </w:p>
    <w:p>
      <w:pPr>
        <w:spacing w:line="360" w:lineRule="auto"/>
        <w:ind w:firstLine="420" w:firstLineChars="200"/>
        <w:rPr>
          <w:rFonts w:ascii="宋体" w:hAnsi="宋体"/>
          <w:szCs w:val="21"/>
        </w:rPr>
      </w:pPr>
      <w:r>
        <w:rPr>
          <w:rFonts w:hint="eastAsia" w:ascii="宋体" w:hAnsi="宋体"/>
          <w:szCs w:val="21"/>
        </w:rPr>
        <w:t>七、</w:t>
      </w:r>
      <w:r>
        <w:rPr>
          <w:rFonts w:hint="eastAsia"/>
          <w:bCs/>
          <w:szCs w:val="21"/>
        </w:rPr>
        <w:t>其他。</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注：所有复印件均需加盖单位公章。</w:t>
      </w:r>
    </w:p>
    <w:p>
      <w:pPr>
        <w:spacing w:line="360" w:lineRule="auto"/>
        <w:rPr>
          <w:rFonts w:ascii="宋体" w:hAnsi="宋体"/>
          <w:szCs w:val="21"/>
        </w:rPr>
      </w:pPr>
    </w:p>
    <w:p>
      <w:pPr>
        <w:spacing w:line="360" w:lineRule="auto"/>
        <w:ind w:firstLine="422" w:firstLineChars="200"/>
        <w:rPr>
          <w:rFonts w:ascii="宋体" w:hAnsi="宋体"/>
          <w:b/>
          <w:szCs w:val="21"/>
        </w:rPr>
      </w:pPr>
    </w:p>
    <w:p>
      <w:pPr>
        <w:spacing w:line="360" w:lineRule="auto"/>
        <w:ind w:left="840" w:leftChars="400" w:firstLine="3885" w:firstLineChars="1850"/>
        <w:rPr>
          <w:rFonts w:ascii="宋体" w:hAnsi="宋体"/>
          <w:szCs w:val="21"/>
        </w:rPr>
      </w:pPr>
      <w:r>
        <w:rPr>
          <w:rFonts w:hint="eastAsia" w:ascii="宋体" w:hAnsi="宋体"/>
          <w:szCs w:val="21"/>
        </w:rPr>
        <w:t>：</w:t>
      </w:r>
    </w:p>
    <w:p>
      <w:pPr>
        <w:spacing w:line="360" w:lineRule="auto"/>
        <w:rPr>
          <w:rFonts w:ascii="宋体" w:hAnsi="宋体"/>
          <w:szCs w:val="21"/>
        </w:rPr>
        <w:sectPr>
          <w:pgSz w:w="11906" w:h="16838"/>
          <w:pgMar w:top="1701" w:right="1418" w:bottom="1418" w:left="1418" w:header="851" w:footer="992" w:gutter="0"/>
          <w:cols w:space="720" w:num="1"/>
          <w:docGrid w:linePitch="312" w:charSpace="0"/>
        </w:sectPr>
      </w:pPr>
    </w:p>
    <w:p>
      <w:pPr>
        <w:pStyle w:val="4"/>
        <w:jc w:val="center"/>
      </w:pPr>
      <w:bookmarkStart w:id="153" w:name="_Toc398537352"/>
      <w:bookmarkStart w:id="154" w:name="_Toc427572526"/>
      <w:bookmarkStart w:id="155" w:name="_Toc477771294"/>
      <w:bookmarkStart w:id="156" w:name="_Toc381691771"/>
      <w:r>
        <w:rPr>
          <w:rFonts w:hint="eastAsia"/>
        </w:rPr>
        <w:t>一、</w:t>
      </w:r>
      <w:bookmarkStart w:id="157" w:name="OLE_LINK1"/>
      <w:r>
        <w:rPr>
          <w:rFonts w:hint="eastAsia"/>
        </w:rPr>
        <w:t>法定代表人身份证明</w:t>
      </w:r>
      <w:bookmarkEnd w:id="153"/>
      <w:bookmarkEnd w:id="154"/>
      <w:bookmarkEnd w:id="155"/>
      <w:bookmarkEnd w:id="156"/>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竞投单位名称：</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单位性质：</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rPr>
        <w:t>经营期限：</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_</w:t>
      </w:r>
    </w:p>
    <w:p>
      <w:pPr>
        <w:spacing w:line="360" w:lineRule="auto"/>
        <w:ind w:firstLine="420" w:firstLineChars="200"/>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（竞投单位名称）的法定代表人。</w:t>
      </w:r>
    </w:p>
    <w:p>
      <w:pPr>
        <w:spacing w:line="36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附：法定代表人身份证复印件</w:t>
      </w:r>
    </w:p>
    <w:p>
      <w:pPr>
        <w:spacing w:line="360" w:lineRule="auto"/>
        <w:ind w:firstLine="420" w:firstLineChars="200"/>
        <w:rPr>
          <w:rFonts w:ascii="宋体" w:hAnsi="宋体"/>
          <w:szCs w:val="21"/>
        </w:rPr>
      </w:pPr>
    </w:p>
    <w:p>
      <w:pPr>
        <w:spacing w:line="360" w:lineRule="auto"/>
        <w:ind w:firstLine="4200" w:firstLineChars="2000"/>
        <w:rPr>
          <w:rFonts w:ascii="宋体" w:hAnsi="宋体"/>
          <w:szCs w:val="21"/>
        </w:rPr>
      </w:pPr>
      <w:r>
        <w:rPr>
          <w:rFonts w:hint="eastAsia" w:ascii="宋体" w:hAnsi="宋体"/>
          <w:szCs w:val="21"/>
        </w:rPr>
        <w:t>竞投单位：</w:t>
      </w:r>
      <w:r>
        <w:rPr>
          <w:rFonts w:hint="eastAsia" w:ascii="宋体" w:hAnsi="宋体"/>
          <w:szCs w:val="21"/>
          <w:u w:val="single"/>
        </w:rPr>
        <w:t xml:space="preserve">                      </w:t>
      </w:r>
      <w:r>
        <w:rPr>
          <w:rFonts w:hint="eastAsia" w:ascii="宋体" w:hAnsi="宋体"/>
          <w:szCs w:val="21"/>
        </w:rPr>
        <w:t>（盖单位章）</w:t>
      </w:r>
    </w:p>
    <w:p>
      <w:pPr>
        <w:spacing w:line="360" w:lineRule="auto"/>
        <w:ind w:firstLine="4515" w:firstLineChars="2150"/>
        <w:rPr>
          <w:rFonts w:ascii="宋体" w:hAnsi="宋体"/>
          <w:szCs w:val="21"/>
          <w:u w:val="single"/>
        </w:rPr>
      </w:pPr>
    </w:p>
    <w:p>
      <w:pPr>
        <w:spacing w:line="360" w:lineRule="auto"/>
        <w:ind w:firstLine="4515" w:firstLineChars="21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sectPr>
          <w:pgSz w:w="11906" w:h="16838"/>
          <w:pgMar w:top="1701" w:right="1418" w:bottom="1418" w:left="1418" w:header="851" w:footer="992" w:gutter="0"/>
          <w:cols w:space="720" w:num="1"/>
          <w:docGrid w:linePitch="312" w:charSpace="0"/>
        </w:sectPr>
      </w:pPr>
    </w:p>
    <w:p>
      <w:pPr>
        <w:pStyle w:val="4"/>
        <w:jc w:val="center"/>
      </w:pPr>
      <w:bookmarkStart w:id="158" w:name="_Toc398537353"/>
      <w:bookmarkStart w:id="159" w:name="_Toc477771295"/>
      <w:bookmarkStart w:id="160" w:name="_Toc381691772"/>
      <w:bookmarkStart w:id="161" w:name="_Toc427572527"/>
      <w:r>
        <w:rPr>
          <w:rFonts w:hint="eastAsia"/>
        </w:rPr>
        <w:t>二、授权委托书</w:t>
      </w:r>
      <w:bookmarkEnd w:id="158"/>
      <w:bookmarkEnd w:id="159"/>
      <w:bookmarkEnd w:id="160"/>
      <w:bookmarkEnd w:id="161"/>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（竞投单位名称）的法定代表人，现委托＿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标段施工竞投文件、签订合同和处理有关事宜，其法律后果由我方承担。</w:t>
      </w:r>
    </w:p>
    <w:p>
      <w:pPr>
        <w:spacing w:line="360" w:lineRule="auto"/>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 xml:space="preserve">                           </w:t>
      </w:r>
      <w:r>
        <w:rPr>
          <w:rFonts w:hint="eastAsia" w:ascii="宋体" w:hAnsi="宋体"/>
          <w:szCs w:val="21"/>
        </w:rPr>
        <w:t>（委托期限建议超过竞投有效期，以免发生不必要的废标。）</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代理人无转委托权。</w:t>
      </w:r>
    </w:p>
    <w:p>
      <w:pPr>
        <w:spacing w:line="360" w:lineRule="auto"/>
        <w:ind w:firstLine="420" w:firstLineChars="200"/>
        <w:rPr>
          <w:rFonts w:ascii="宋体" w:hAnsi="宋体"/>
          <w:szCs w:val="21"/>
        </w:rPr>
      </w:pPr>
      <w:r>
        <w:rPr>
          <w:rFonts w:hint="eastAsia" w:ascii="宋体" w:hAnsi="宋体"/>
          <w:szCs w:val="21"/>
        </w:rPr>
        <w:t>附：授权委托人身份证复印件</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竞投单位：</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420" w:firstLineChars="200"/>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5355" w:firstLineChars="2550"/>
        <w:rPr>
          <w:rFonts w:ascii="宋体" w:hAnsi="宋体"/>
          <w:szCs w:val="21"/>
        </w:rPr>
      </w:pPr>
    </w:p>
    <w:p>
      <w:pPr>
        <w:spacing w:line="360" w:lineRule="auto"/>
        <w:ind w:firstLine="5040" w:firstLineChars="24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sectPr>
          <w:pgSz w:w="11906" w:h="16838"/>
          <w:pgMar w:top="1701" w:right="1418" w:bottom="1418" w:left="1418" w:header="851" w:footer="992" w:gutter="0"/>
          <w:cols w:space="720" w:num="1"/>
          <w:docGrid w:linePitch="312" w:charSpace="0"/>
        </w:sectPr>
      </w:pPr>
    </w:p>
    <w:bookmarkEnd w:id="157"/>
    <w:p>
      <w:pPr>
        <w:pStyle w:val="4"/>
        <w:jc w:val="center"/>
      </w:pPr>
      <w:bookmarkStart w:id="162" w:name="_Toc427572528"/>
      <w:bookmarkStart w:id="163" w:name="_Toc477771296"/>
      <w:r>
        <w:rPr>
          <w:rFonts w:hint="eastAsia"/>
        </w:rPr>
        <w:t>三、</w:t>
      </w:r>
      <w:bookmarkEnd w:id="162"/>
      <w:r>
        <w:rPr>
          <w:rFonts w:hint="eastAsia"/>
        </w:rPr>
        <w:t>有效的营业执照</w:t>
      </w:r>
      <w:bookmarkEnd w:id="163"/>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rPr>
          <w:b/>
          <w:sz w:val="24"/>
        </w:rPr>
      </w:pPr>
    </w:p>
    <w:p>
      <w:pPr>
        <w:pStyle w:val="4"/>
        <w:jc w:val="center"/>
      </w:pPr>
      <w:bookmarkStart w:id="164" w:name="_Toc477771297"/>
      <w:r>
        <w:rPr>
          <w:rFonts w:hint="eastAsia"/>
        </w:rPr>
        <w:t>四、资质证书</w:t>
      </w:r>
      <w:bookmarkEnd w:id="164"/>
    </w:p>
    <w:p/>
    <w:p/>
    <w:p/>
    <w:p/>
    <w:p/>
    <w:p/>
    <w:p/>
    <w:p/>
    <w:p/>
    <w:p/>
    <w:p/>
    <w:p/>
    <w:p/>
    <w:p/>
    <w:p/>
    <w:p/>
    <w:p/>
    <w:p/>
    <w:p/>
    <w:p/>
    <w:p/>
    <w:p/>
    <w:p/>
    <w:p/>
    <w:p/>
    <w:p/>
    <w:p/>
    <w:p/>
    <w:p/>
    <w:p/>
    <w:p/>
    <w:p/>
    <w:p/>
    <w:p/>
    <w:p>
      <w:pPr>
        <w:sectPr>
          <w:pgSz w:w="11906" w:h="16838"/>
          <w:pgMar w:top="1701" w:right="1418" w:bottom="1418" w:left="1418" w:header="851" w:footer="992" w:gutter="0"/>
          <w:cols w:space="720" w:num="1"/>
          <w:docGrid w:linePitch="312" w:charSpace="0"/>
        </w:sectPr>
      </w:pPr>
    </w:p>
    <w:p>
      <w:pPr>
        <w:pStyle w:val="4"/>
        <w:jc w:val="center"/>
      </w:pPr>
      <w:bookmarkStart w:id="165" w:name="_Toc477771298"/>
      <w:r>
        <w:rPr>
          <w:rFonts w:hint="eastAsia"/>
        </w:rPr>
        <w:t>五、安全生产许可证</w:t>
      </w:r>
      <w:bookmarkEnd w:id="165"/>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spacing w:line="360" w:lineRule="auto"/>
        <w:jc w:val="center"/>
        <w:rPr>
          <w:b/>
          <w:sz w:val="24"/>
        </w:rPr>
      </w:pPr>
    </w:p>
    <w:p>
      <w:pPr>
        <w:rPr>
          <w:rFonts w:ascii="Arial" w:hAnsi="Arial"/>
          <w:b/>
          <w:bCs/>
          <w:szCs w:val="28"/>
        </w:rPr>
      </w:pPr>
    </w:p>
    <w:p>
      <w:pPr>
        <w:pStyle w:val="4"/>
        <w:jc w:val="center"/>
      </w:pPr>
      <w:bookmarkStart w:id="166" w:name="_Toc481049844"/>
      <w:r>
        <w:rPr>
          <w:rFonts w:hint="eastAsia"/>
        </w:rPr>
        <w:t>六、竞投保证金收据复印件</w:t>
      </w:r>
      <w:bookmarkEnd w:id="166"/>
    </w:p>
    <w:p/>
    <w:p/>
    <w:p/>
    <w:p/>
    <w:p/>
    <w:p/>
    <w:p/>
    <w:p/>
    <w:p/>
    <w:p/>
    <w:p/>
    <w:p/>
    <w:p/>
    <w:p/>
    <w:p/>
    <w:p/>
    <w:p/>
    <w:p/>
    <w:p/>
    <w:p/>
    <w:p/>
    <w:p/>
    <w:p/>
    <w:p/>
    <w:p/>
    <w:p/>
    <w:p/>
    <w:p/>
    <w:p/>
    <w:p/>
    <w:p/>
    <w:p/>
    <w:p/>
    <w:p/>
    <w:p/>
    <w:p/>
    <w:p/>
    <w:p/>
    <w:p/>
    <w:p/>
    <w:p/>
    <w:p/>
    <w:p/>
    <w:p/>
    <w:p/>
    <w:p/>
    <w:p/>
    <w:p/>
    <w:p/>
    <w:p/>
    <w:p/>
    <w:p>
      <w:pPr>
        <w:pStyle w:val="4"/>
        <w:jc w:val="center"/>
      </w:pPr>
      <w:r>
        <w:rPr>
          <w:rFonts w:hint="eastAsia"/>
        </w:rPr>
        <w:t>七、其他</w:t>
      </w:r>
    </w:p>
    <w:p>
      <w:pPr>
        <w:sectPr>
          <w:pgSz w:w="11906" w:h="16838"/>
          <w:pgMar w:top="1701" w:right="1418" w:bottom="1418" w:left="1418" w:header="851" w:footer="992" w:gutter="0"/>
          <w:cols w:space="720" w:num="1"/>
          <w:docGrid w:linePitch="312" w:charSpace="0"/>
        </w:sectPr>
      </w:pPr>
    </w:p>
    <w:p>
      <w:pPr>
        <w:spacing w:line="360" w:lineRule="auto"/>
        <w:ind w:firstLine="420" w:firstLineChars="200"/>
        <w:jc w:val="right"/>
        <w:rPr>
          <w:rFonts w:ascii="宋体" w:hAnsi="宋体"/>
          <w:szCs w:val="21"/>
        </w:rPr>
      </w:pPr>
      <w:r>
        <w:rPr>
          <w:rFonts w:hint="eastAsia" w:ascii="宋体" w:hAnsi="宋体"/>
          <w:szCs w:val="21"/>
        </w:rPr>
        <w:t>正本（副本）</w:t>
      </w:r>
    </w:p>
    <w:p>
      <w:pPr>
        <w:spacing w:line="360" w:lineRule="auto"/>
        <w:ind w:firstLine="420" w:firstLineChars="200"/>
        <w:rPr>
          <w:rFonts w:ascii="宋体" w:hAnsi="宋体"/>
          <w:szCs w:val="21"/>
        </w:rPr>
      </w:pPr>
    </w:p>
    <w:p>
      <w:pPr>
        <w:spacing w:line="360" w:lineRule="auto"/>
        <w:jc w:val="center"/>
        <w:rPr>
          <w:rFonts w:ascii="宋体" w:hAnsi="宋体" w:cs="宋体"/>
          <w:b/>
          <w:sz w:val="52"/>
          <w:szCs w:val="52"/>
        </w:rPr>
      </w:pPr>
      <w:r>
        <w:rPr>
          <w:rFonts w:hint="eastAsia" w:ascii="宋体" w:hAnsi="宋体" w:cs="宋体"/>
          <w:b/>
          <w:sz w:val="52"/>
          <w:szCs w:val="52"/>
          <w:u w:val="single"/>
        </w:rPr>
        <w:t xml:space="preserve">                  </w:t>
      </w:r>
      <w:r>
        <w:rPr>
          <w:rFonts w:hint="eastAsia" w:ascii="宋体" w:hAnsi="宋体" w:cs="宋体"/>
          <w:b/>
          <w:sz w:val="52"/>
          <w:szCs w:val="52"/>
        </w:rPr>
        <w:t>工程</w:t>
      </w:r>
    </w:p>
    <w:p>
      <w:pPr>
        <w:spacing w:line="360" w:lineRule="auto"/>
        <w:rPr>
          <w:rFonts w:ascii="宋体" w:hAnsi="宋体"/>
          <w:sz w:val="72"/>
          <w:szCs w:val="72"/>
        </w:rPr>
      </w:pPr>
    </w:p>
    <w:p>
      <w:pPr>
        <w:spacing w:line="360" w:lineRule="auto"/>
        <w:rPr>
          <w:rFonts w:ascii="宋体" w:hAnsi="宋体"/>
          <w:sz w:val="72"/>
          <w:szCs w:val="72"/>
        </w:rPr>
      </w:pPr>
    </w:p>
    <w:p>
      <w:pPr>
        <w:spacing w:line="360" w:lineRule="auto"/>
        <w:jc w:val="center"/>
        <w:rPr>
          <w:rFonts w:ascii="宋体" w:hAnsi="宋体"/>
          <w:szCs w:val="21"/>
        </w:rPr>
      </w:pPr>
      <w:r>
        <w:rPr>
          <w:rFonts w:hint="eastAsia" w:ascii="宋体" w:hAnsi="宋体"/>
          <w:sz w:val="72"/>
          <w:szCs w:val="72"/>
        </w:rPr>
        <w:t>竞 投 文 件</w:t>
      </w:r>
    </w:p>
    <w:p>
      <w:pPr>
        <w:spacing w:line="360" w:lineRule="auto"/>
        <w:ind w:firstLine="420" w:firstLineChars="200"/>
        <w:jc w:val="center"/>
        <w:rPr>
          <w:rFonts w:ascii="宋体" w:hAnsi="宋体"/>
          <w:szCs w:val="21"/>
        </w:rPr>
      </w:pPr>
    </w:p>
    <w:p>
      <w:pPr>
        <w:spacing w:line="360" w:lineRule="auto"/>
        <w:jc w:val="center"/>
        <w:rPr>
          <w:rFonts w:ascii="宋体" w:hAnsi="宋体"/>
          <w:sz w:val="48"/>
          <w:szCs w:val="48"/>
        </w:rPr>
      </w:pPr>
      <w:r>
        <w:rPr>
          <w:rFonts w:hint="eastAsia" w:ascii="宋体" w:hAnsi="宋体"/>
          <w:sz w:val="48"/>
          <w:szCs w:val="48"/>
        </w:rPr>
        <w:t>基本资料竞投文件</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jc w:val="center"/>
        <w:rPr>
          <w:rFonts w:ascii="宋体" w:hAnsi="宋体"/>
          <w:sz w:val="28"/>
          <w:szCs w:val="28"/>
        </w:rPr>
      </w:pPr>
      <w:r>
        <w:rPr>
          <w:rFonts w:hint="eastAsia" w:ascii="宋体" w:hAnsi="宋体"/>
          <w:sz w:val="28"/>
          <w:szCs w:val="28"/>
        </w:rPr>
        <w:t>竞投单位：</w:t>
      </w:r>
      <w:r>
        <w:rPr>
          <w:rFonts w:hint="eastAsia" w:ascii="宋体" w:hAnsi="宋体"/>
          <w:sz w:val="28"/>
          <w:szCs w:val="28"/>
          <w:u w:val="single"/>
        </w:rPr>
        <w:t xml:space="preserve">                       </w:t>
      </w:r>
      <w:r>
        <w:rPr>
          <w:rFonts w:hint="eastAsia" w:ascii="宋体" w:hAnsi="宋体"/>
          <w:sz w:val="28"/>
          <w:szCs w:val="28"/>
        </w:rPr>
        <w:t>（盖单位章）</w:t>
      </w:r>
    </w:p>
    <w:p>
      <w:pPr>
        <w:spacing w:line="360" w:lineRule="auto"/>
        <w:ind w:firstLine="560" w:firstLineChars="200"/>
        <w:rPr>
          <w:rFonts w:ascii="宋体" w:hAnsi="宋体"/>
          <w:sz w:val="28"/>
          <w:szCs w:val="28"/>
        </w:rPr>
      </w:pPr>
    </w:p>
    <w:p>
      <w:pPr>
        <w:spacing w:line="360" w:lineRule="auto"/>
        <w:ind w:firstLine="1120" w:firstLineChars="400"/>
        <w:rPr>
          <w:rFonts w:ascii="宋体" w:hAnsi="宋体"/>
          <w:sz w:val="28"/>
          <w:szCs w:val="28"/>
        </w:rPr>
      </w:pPr>
      <w:r>
        <w:rPr>
          <w:rFonts w:hint="eastAsia" w:ascii="宋体" w:hAnsi="宋体"/>
          <w:sz w:val="28"/>
          <w:szCs w:val="28"/>
        </w:rPr>
        <w:t>法定代表人或其授权代理人：</w:t>
      </w:r>
      <w:r>
        <w:rPr>
          <w:rFonts w:hint="eastAsia" w:ascii="宋体" w:hAnsi="宋体"/>
          <w:sz w:val="28"/>
          <w:szCs w:val="28"/>
          <w:u w:val="single"/>
        </w:rPr>
        <w:t xml:space="preserve">            </w:t>
      </w:r>
      <w:r>
        <w:rPr>
          <w:rFonts w:hint="eastAsia" w:ascii="宋体" w:hAnsi="宋体"/>
          <w:sz w:val="28"/>
          <w:szCs w:val="28"/>
        </w:rPr>
        <w:t>（签字）</w:t>
      </w:r>
    </w:p>
    <w:p>
      <w:pPr>
        <w:spacing w:line="360" w:lineRule="auto"/>
        <w:jc w:val="center"/>
        <w:rPr>
          <w:rFonts w:ascii="宋体" w:hAnsi="宋体"/>
          <w:szCs w:val="21"/>
          <w:u w:val="single"/>
        </w:rPr>
      </w:pPr>
    </w:p>
    <w:p>
      <w:pPr>
        <w:spacing w:line="360" w:lineRule="auto"/>
        <w:jc w:val="center"/>
        <w:rPr>
          <w:rFonts w:ascii="宋体" w:hAnsi="宋体"/>
          <w:sz w:val="28"/>
          <w:szCs w:val="28"/>
        </w:rPr>
      </w:pPr>
      <w:r>
        <w:rPr>
          <w:rFonts w:hint="eastAsia" w:ascii="宋体" w:hAnsi="宋体"/>
          <w:szCs w:val="21"/>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360" w:lineRule="auto"/>
        <w:jc w:val="left"/>
        <w:rPr>
          <w:rFonts w:ascii="宋体" w:hAnsi="宋体"/>
          <w:szCs w:val="21"/>
        </w:rPr>
      </w:pPr>
    </w:p>
    <w:p>
      <w:pPr>
        <w:spacing w:line="360" w:lineRule="auto"/>
        <w:jc w:val="left"/>
        <w:rPr>
          <w:rFonts w:ascii="宋体" w:hAnsi="宋体"/>
          <w:szCs w:val="21"/>
        </w:rPr>
      </w:pPr>
      <w:r>
        <w:rPr>
          <w:rFonts w:hint="eastAsia" w:ascii="宋体" w:hAnsi="宋体"/>
          <w:szCs w:val="21"/>
        </w:rPr>
        <w:t>说明：本封面仅供参考，格式由竞投单位自定，但必须包括工程名称、“正本”或“副本”字样（电子标书免）、“基本资料竞投文件”字样、竞投单位名称、竞投单位单位公章、竞投单位法定代表人或其法定授权代理人签字。</w:t>
      </w:r>
    </w:p>
    <w:p>
      <w:pPr>
        <w:spacing w:line="360" w:lineRule="auto"/>
        <w:jc w:val="left"/>
        <w:rPr>
          <w:rFonts w:ascii="宋体" w:hAnsi="宋体"/>
          <w:szCs w:val="21"/>
        </w:rPr>
        <w:sectPr>
          <w:pgSz w:w="11906" w:h="16838"/>
          <w:pgMar w:top="1701" w:right="1418" w:bottom="1418" w:left="1418" w:header="851" w:footer="992" w:gutter="0"/>
          <w:cols w:space="720" w:num="1"/>
          <w:docGrid w:linePitch="312" w:charSpace="0"/>
        </w:sectPr>
      </w:pPr>
    </w:p>
    <w:p>
      <w:pPr>
        <w:pStyle w:val="4"/>
        <w:jc w:val="center"/>
        <w:rPr>
          <w:sz w:val="28"/>
          <w:szCs w:val="28"/>
        </w:rPr>
      </w:pPr>
      <w:bookmarkStart w:id="167" w:name="_Toc477771300"/>
      <w:bookmarkStart w:id="168" w:name="_Toc427572533"/>
      <w:bookmarkStart w:id="169" w:name="_Toc398537358"/>
      <w:bookmarkStart w:id="170" w:name="_Toc381691779"/>
      <w:r>
        <w:rPr>
          <w:rFonts w:hint="eastAsia"/>
          <w:sz w:val="28"/>
          <w:szCs w:val="28"/>
        </w:rPr>
        <w:t>目  录</w:t>
      </w:r>
      <w:bookmarkEnd w:id="167"/>
      <w:bookmarkEnd w:id="168"/>
      <w:bookmarkEnd w:id="169"/>
      <w:bookmarkEnd w:id="170"/>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一、基本资料竞投文件</w:t>
      </w:r>
    </w:p>
    <w:p>
      <w:pPr>
        <w:spacing w:line="360" w:lineRule="auto"/>
        <w:ind w:firstLine="420" w:firstLineChars="200"/>
        <w:rPr>
          <w:rFonts w:ascii="宋体" w:hAnsi="宋体"/>
          <w:szCs w:val="21"/>
        </w:rPr>
      </w:pPr>
      <w:r>
        <w:rPr>
          <w:rFonts w:hint="eastAsia" w:ascii="宋体" w:hAnsi="宋体"/>
          <w:szCs w:val="21"/>
        </w:rPr>
        <w:t>（一）承诺书（原件）；</w:t>
      </w:r>
    </w:p>
    <w:p>
      <w:pPr>
        <w:spacing w:line="360" w:lineRule="auto"/>
        <w:ind w:firstLine="420" w:firstLineChars="200"/>
        <w:rPr>
          <w:rFonts w:ascii="宋体" w:hAnsi="宋体"/>
          <w:szCs w:val="21"/>
        </w:rPr>
      </w:pPr>
      <w:r>
        <w:rPr>
          <w:rFonts w:hint="eastAsia" w:ascii="宋体" w:hAnsi="宋体"/>
          <w:szCs w:val="21"/>
        </w:rPr>
        <w:t>（二）《项目管理机构主要人员配置表》 ；</w:t>
      </w:r>
    </w:p>
    <w:p>
      <w:pPr>
        <w:spacing w:line="360" w:lineRule="auto"/>
        <w:ind w:firstLine="420" w:firstLineChars="200"/>
        <w:rPr>
          <w:rFonts w:ascii="宋体" w:hAnsi="宋体"/>
          <w:szCs w:val="21"/>
        </w:rPr>
      </w:pPr>
      <w:r>
        <w:rPr>
          <w:rFonts w:hint="eastAsia" w:ascii="宋体" w:hAnsi="宋体"/>
          <w:szCs w:val="21"/>
        </w:rPr>
        <w:t>（三）竞投单位须知前附表规定的其他材料。</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注：所有复印件均需加盖单位公章。</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p>
    <w:p>
      <w:pPr>
        <w:spacing w:line="360" w:lineRule="auto"/>
        <w:rPr>
          <w:rFonts w:ascii="宋体" w:hAnsi="宋体"/>
          <w:b/>
          <w:szCs w:val="21"/>
        </w:rPr>
      </w:pPr>
    </w:p>
    <w:p>
      <w:pPr>
        <w:snapToGrid w:val="0"/>
        <w:spacing w:line="360" w:lineRule="auto"/>
        <w:jc w:val="center"/>
        <w:rPr>
          <w:b/>
          <w:sz w:val="24"/>
        </w:rPr>
      </w:pPr>
    </w:p>
    <w:p>
      <w:pPr>
        <w:snapToGrid w:val="0"/>
        <w:spacing w:line="288" w:lineRule="auto"/>
        <w:jc w:val="center"/>
        <w:rPr>
          <w:rFonts w:ascii="宋体" w:hAnsi="宋体"/>
          <w:b/>
          <w:sz w:val="24"/>
        </w:rPr>
      </w:pPr>
      <w:r>
        <w:rPr>
          <w:rFonts w:hint="eastAsia"/>
          <w:b/>
          <w:sz w:val="24"/>
        </w:rPr>
        <w:t>（一）承  诺  书</w:t>
      </w:r>
    </w:p>
    <w:p>
      <w:pPr>
        <w:snapToGrid w:val="0"/>
        <w:spacing w:line="288" w:lineRule="auto"/>
        <w:rPr>
          <w:rFonts w:ascii="宋体" w:hAnsi="宋体"/>
          <w:szCs w:val="21"/>
        </w:rPr>
      </w:pPr>
      <w:r>
        <w:rPr>
          <w:rFonts w:hint="eastAsia" w:ascii="宋体" w:hAnsi="宋体"/>
          <w:szCs w:val="21"/>
          <w:u w:val="single"/>
          <w:lang w:val="en-US" w:eastAsia="zh-CN"/>
        </w:rPr>
        <w:t xml:space="preserve">                              （项目需求单位（建设单位））</w:t>
      </w:r>
      <w:r>
        <w:rPr>
          <w:rFonts w:hint="eastAsia" w:ascii="宋体" w:hAnsi="宋体"/>
          <w:szCs w:val="21"/>
        </w:rPr>
        <w:t>：</w:t>
      </w:r>
    </w:p>
    <w:p>
      <w:pPr>
        <w:snapToGrid w:val="0"/>
        <w:spacing w:line="288"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项目需求书、竞投答疑要求和内容，我公司全面响应，严格按照项目需求书精神及施工图纸进行施工，并作出郑重承诺：</w:t>
      </w:r>
    </w:p>
    <w:p>
      <w:pPr>
        <w:snapToGrid w:val="0"/>
        <w:spacing w:line="288" w:lineRule="auto"/>
        <w:ind w:firstLine="420" w:firstLineChars="200"/>
        <w:rPr>
          <w:rFonts w:ascii="宋体" w:hAnsi="宋体"/>
          <w:szCs w:val="21"/>
        </w:rPr>
      </w:pPr>
      <w:r>
        <w:rPr>
          <w:rFonts w:hint="eastAsia" w:ascii="宋体" w:hAnsi="宋体"/>
          <w:szCs w:val="21"/>
        </w:rPr>
        <w:t xml:space="preserve">1、工程质量： </w:t>
      </w:r>
    </w:p>
    <w:p>
      <w:pPr>
        <w:snapToGrid w:val="0"/>
        <w:spacing w:line="288" w:lineRule="auto"/>
        <w:ind w:firstLine="420" w:firstLineChars="200"/>
        <w:rPr>
          <w:rFonts w:ascii="宋体" w:hAnsi="宋体"/>
          <w:szCs w:val="21"/>
        </w:rPr>
      </w:pPr>
      <w:r>
        <w:rPr>
          <w:rFonts w:hint="eastAsia" w:ascii="宋体" w:hAnsi="宋体"/>
          <w:szCs w:val="21"/>
        </w:rPr>
        <w:t>保证达到</w:t>
      </w:r>
      <w:r>
        <w:rPr>
          <w:rFonts w:hint="eastAsia" w:ascii="宋体" w:hAnsi="宋体"/>
          <w:szCs w:val="21"/>
          <w:u w:val="single"/>
        </w:rPr>
        <w:t xml:space="preserve">    </w:t>
      </w:r>
      <w:r>
        <w:rPr>
          <w:rFonts w:hint="eastAsia" w:ascii="宋体" w:hAnsi="宋体"/>
          <w:szCs w:val="21"/>
        </w:rPr>
        <w:t>工程等级。若工程验收时达不到合格等级要求的，工程结算时</w:t>
      </w:r>
      <w:r>
        <w:rPr>
          <w:rFonts w:hint="eastAsia" w:ascii="宋体" w:hAnsi="宋体"/>
          <w:bCs/>
          <w:szCs w:val="21"/>
        </w:rPr>
        <w:t>我单位自愿接受</w:t>
      </w:r>
      <w:r>
        <w:rPr>
          <w:rFonts w:hint="eastAsia" w:ascii="宋体" w:hAnsi="宋体"/>
          <w:szCs w:val="21"/>
        </w:rPr>
        <w:t>按中选价的</w:t>
      </w:r>
      <w:r>
        <w:rPr>
          <w:rFonts w:hint="eastAsia" w:ascii="宋体" w:hAnsi="宋体"/>
          <w:szCs w:val="21"/>
          <w:u w:val="single"/>
        </w:rPr>
        <w:t xml:space="preserve"> 2% </w:t>
      </w:r>
      <w:r>
        <w:rPr>
          <w:rFonts w:hint="eastAsia" w:ascii="宋体" w:hAnsi="宋体"/>
          <w:szCs w:val="21"/>
        </w:rPr>
        <w:t>（不得低于2%）扣罚质量违约金，并保证免费返工至合格工程。</w:t>
      </w:r>
    </w:p>
    <w:p>
      <w:pPr>
        <w:snapToGrid w:val="0"/>
        <w:spacing w:line="288" w:lineRule="auto"/>
        <w:ind w:firstLine="422" w:firstLineChars="200"/>
        <w:rPr>
          <w:rFonts w:ascii="宋体" w:hAnsi="宋体"/>
          <w:b/>
          <w:color w:val="FF0000"/>
          <w:szCs w:val="21"/>
        </w:rPr>
      </w:pPr>
      <w:r>
        <w:rPr>
          <w:rFonts w:hint="eastAsia" w:ascii="宋体" w:hAnsi="宋体"/>
          <w:b/>
          <w:color w:val="FF0000"/>
          <w:szCs w:val="21"/>
        </w:rPr>
        <w:t xml:space="preserve">2、施工工期： </w:t>
      </w:r>
    </w:p>
    <w:p>
      <w:pPr>
        <w:snapToGrid w:val="0"/>
        <w:spacing w:line="288" w:lineRule="auto"/>
        <w:ind w:firstLine="422" w:firstLineChars="200"/>
        <w:rPr>
          <w:rFonts w:ascii="宋体" w:hAnsi="宋体"/>
          <w:b/>
          <w:color w:val="FF0000"/>
          <w:szCs w:val="21"/>
        </w:rPr>
      </w:pPr>
      <w:r>
        <w:rPr>
          <w:rFonts w:ascii="宋体" w:hAnsi="宋体"/>
          <w:b/>
          <w:color w:val="FF0000"/>
          <w:szCs w:val="21"/>
        </w:rPr>
        <w:t>保证</w:t>
      </w:r>
      <w:r>
        <w:rPr>
          <w:rFonts w:hint="eastAsia" w:ascii="宋体" w:hAnsi="宋体"/>
          <w:b/>
          <w:color w:val="FF0000"/>
          <w:szCs w:val="21"/>
        </w:rPr>
        <w:t>在</w:t>
      </w:r>
      <w:r>
        <w:rPr>
          <w:rFonts w:hint="eastAsia" w:ascii="宋体" w:hAnsi="宋体"/>
          <w:b/>
          <w:color w:val="FF0000"/>
          <w:szCs w:val="21"/>
          <w:u w:val="single"/>
        </w:rPr>
        <w:t xml:space="preserve">    </w:t>
      </w:r>
      <w:r>
        <w:rPr>
          <w:rFonts w:hint="eastAsia" w:ascii="宋体" w:hAnsi="宋体"/>
          <w:b/>
          <w:color w:val="FF0000"/>
          <w:szCs w:val="21"/>
        </w:rPr>
        <w:t>日历天内竣工交付使用，若我单位未能在合同约定的完工日期前完工，我方自愿接受按每延误一天扣</w:t>
      </w:r>
      <w:r>
        <w:rPr>
          <w:rFonts w:hint="eastAsia" w:ascii="宋体" w:hAnsi="宋体"/>
          <w:b/>
          <w:color w:val="FF0000"/>
          <w:szCs w:val="21"/>
          <w:u w:val="single"/>
        </w:rPr>
        <w:t xml:space="preserve">    </w:t>
      </w:r>
      <w:r>
        <w:rPr>
          <w:rFonts w:hint="eastAsia" w:ascii="宋体" w:hAnsi="宋体"/>
          <w:b/>
          <w:color w:val="FF0000"/>
          <w:szCs w:val="21"/>
        </w:rPr>
        <w:t>元的处罚,并将采取有效措施加快工程进度，且赶工费用由我方承担。</w:t>
      </w:r>
    </w:p>
    <w:p>
      <w:pPr>
        <w:snapToGrid w:val="0"/>
        <w:spacing w:line="288" w:lineRule="auto"/>
        <w:ind w:firstLine="420" w:firstLineChars="200"/>
        <w:rPr>
          <w:rFonts w:ascii="宋体" w:hAnsi="宋体"/>
          <w:color w:val="000000"/>
          <w:szCs w:val="21"/>
        </w:rPr>
      </w:pPr>
      <w:r>
        <w:rPr>
          <w:rFonts w:hint="eastAsia" w:ascii="宋体" w:hAnsi="宋体"/>
          <w:color w:val="000000"/>
          <w:szCs w:val="21"/>
        </w:rPr>
        <w:t>3、施工安全：</w:t>
      </w:r>
    </w:p>
    <w:p>
      <w:pPr>
        <w:snapToGrid w:val="0"/>
        <w:spacing w:line="288" w:lineRule="auto"/>
        <w:ind w:firstLine="420" w:firstLineChars="200"/>
        <w:rPr>
          <w:rFonts w:ascii="宋体" w:hAnsi="宋体"/>
          <w:szCs w:val="21"/>
        </w:rPr>
      </w:pPr>
      <w:r>
        <w:rPr>
          <w:rFonts w:hint="eastAsia" w:ascii="宋体" w:hAnsi="宋体"/>
          <w:szCs w:val="21"/>
        </w:rPr>
        <w:t>保证不发生一般或以上级别安全事故，安全检查达到 «建筑施工安全检查标准»所规定的</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标准，施工全过程如因我单位原因导致发生安全事故的，自愿接受因此造成的一切责任。</w:t>
      </w:r>
    </w:p>
    <w:p>
      <w:pPr>
        <w:snapToGrid w:val="0"/>
        <w:spacing w:line="288" w:lineRule="auto"/>
        <w:ind w:firstLine="420" w:firstLineChars="200"/>
        <w:rPr>
          <w:rFonts w:ascii="宋体" w:hAnsi="宋体"/>
          <w:szCs w:val="21"/>
        </w:rPr>
      </w:pPr>
      <w:r>
        <w:rPr>
          <w:rFonts w:hint="eastAsia" w:ascii="宋体" w:hAnsi="宋体"/>
          <w:szCs w:val="21"/>
        </w:rPr>
        <w:t xml:space="preserve">4、文明施工： </w:t>
      </w:r>
    </w:p>
    <w:p>
      <w:pPr>
        <w:snapToGrid w:val="0"/>
        <w:spacing w:line="288" w:lineRule="auto"/>
        <w:ind w:firstLine="420" w:firstLineChars="200"/>
        <w:rPr>
          <w:rFonts w:ascii="宋体" w:hAnsi="宋体"/>
          <w:szCs w:val="21"/>
        </w:rPr>
      </w:pPr>
      <w:r>
        <w:rPr>
          <w:rFonts w:hint="eastAsia" w:ascii="宋体" w:hAnsi="宋体"/>
          <w:szCs w:val="21"/>
        </w:rPr>
        <w:t>施工管理保证按中山市建设工程施工现场管理办法（中建[2004]20号）执行，保证达到中山市文明工地的</w:t>
      </w:r>
      <w:r>
        <w:rPr>
          <w:rFonts w:hint="eastAsia" w:ascii="宋体" w:hAnsi="宋体"/>
          <w:szCs w:val="21"/>
          <w:u w:val="single"/>
        </w:rPr>
        <w:t xml:space="preserve">   </w:t>
      </w:r>
      <w:r>
        <w:rPr>
          <w:rFonts w:hint="eastAsia" w:ascii="宋体" w:hAnsi="宋体"/>
          <w:szCs w:val="21"/>
        </w:rPr>
        <w:t>标准。</w:t>
      </w:r>
    </w:p>
    <w:p>
      <w:pPr>
        <w:snapToGrid w:val="0"/>
        <w:spacing w:line="288" w:lineRule="auto"/>
        <w:ind w:firstLine="420" w:firstLineChars="200"/>
        <w:rPr>
          <w:rFonts w:ascii="宋体" w:hAnsi="宋体"/>
          <w:szCs w:val="21"/>
        </w:rPr>
      </w:pPr>
      <w:r>
        <w:rPr>
          <w:rFonts w:hint="eastAsia" w:ascii="宋体" w:hAnsi="宋体"/>
          <w:szCs w:val="21"/>
        </w:rPr>
        <w:t>5、拟投入本项目的项目负责人及项目管理班子主要人员：</w:t>
      </w:r>
    </w:p>
    <w:p>
      <w:pPr>
        <w:snapToGrid w:val="0"/>
        <w:spacing w:line="288" w:lineRule="auto"/>
        <w:ind w:firstLine="420" w:firstLineChars="200"/>
        <w:rPr>
          <w:rFonts w:ascii="宋体" w:hAnsi="宋体"/>
          <w:szCs w:val="21"/>
        </w:rPr>
      </w:pPr>
      <w:r>
        <w:rPr>
          <w:rFonts w:hint="eastAsia" w:ascii="宋体" w:hAnsi="宋体"/>
          <w:szCs w:val="21"/>
        </w:rPr>
        <w:t>拟投入本项目的项目负责人及项目管理班子主要人员：保证本工程的</w:t>
      </w:r>
      <w:r>
        <w:rPr>
          <w:rFonts w:hint="eastAsia"/>
          <w:szCs w:val="21"/>
        </w:rPr>
        <w:t>项目负责人</w:t>
      </w:r>
      <w:r>
        <w:rPr>
          <w:rFonts w:hint="eastAsia" w:ascii="宋体" w:hAnsi="宋体"/>
          <w:szCs w:val="21"/>
        </w:rPr>
        <w:t>在现场实施全过程、全方位的施工管理，不承担其它工程项目的管理工作。在建设单位（项目需求单位）组织的不定期检查中，我方若违反有关规定的，在建设单位（项目需求单位）提出整改要求后，若我方没有及时改进或没有实质性响应的，建设单位（项目需求单位）有权单方解除施工合同，同时提交我方给中山市建设局作不诚信单位予以备案。我方愿意承担相应的经济责任。我方清楚地知道并接受：</w:t>
      </w:r>
      <w:r>
        <w:rPr>
          <w:rFonts w:hint="eastAsia"/>
        </w:rPr>
        <w:t>本工程中选后不得转包，否则作违约处理，视情节追究企业法人责任，并承担相应的商务损失。</w:t>
      </w:r>
      <w:r>
        <w:rPr>
          <w:rFonts w:hint="eastAsia" w:ascii="宋体" w:hAnsi="宋体"/>
          <w:szCs w:val="21"/>
        </w:rPr>
        <w:t>我方承诺，</w:t>
      </w:r>
      <w:r>
        <w:rPr>
          <w:rFonts w:hint="eastAsia"/>
        </w:rPr>
        <w:t>进场施工管理人员必须与竞投书中施工组织设计中的人员相符，如有变更，须按广东省住房和城乡建设厅印发</w:t>
      </w:r>
      <w:r>
        <w:rPr>
          <w:rFonts w:hint="eastAsia"/>
          <w:color w:val="000000"/>
        </w:rPr>
        <w:t>《广东省住房和城乡建设厅关于建设工程项目招标中标后监督检查的办法》</w:t>
      </w:r>
      <w:r>
        <w:rPr>
          <w:rFonts w:hint="eastAsia"/>
        </w:rPr>
        <w:t>的通知（粤建市〔</w:t>
      </w:r>
      <w:r>
        <w:t>2009</w:t>
      </w:r>
      <w:r>
        <w:rPr>
          <w:rFonts w:hint="eastAsia"/>
        </w:rPr>
        <w:t>〕</w:t>
      </w:r>
      <w:r>
        <w:t>8</w:t>
      </w:r>
      <w:r>
        <w:rPr>
          <w:rFonts w:hint="eastAsia"/>
        </w:rPr>
        <w:t>号）执行</w:t>
      </w:r>
      <w:r>
        <w:rPr>
          <w:rFonts w:hint="eastAsia" w:ascii="宋体" w:hAnsi="宋体"/>
          <w:szCs w:val="21"/>
        </w:rPr>
        <w:t>，如有违约，建设单位（项目需求单位）有权终止施工合同。</w:t>
      </w:r>
    </w:p>
    <w:p>
      <w:pPr>
        <w:snapToGrid w:val="0"/>
        <w:spacing w:line="288" w:lineRule="auto"/>
        <w:ind w:firstLine="420" w:firstLineChars="200"/>
        <w:rPr>
          <w:rFonts w:ascii="宋体" w:hAnsi="宋体"/>
          <w:szCs w:val="21"/>
        </w:rPr>
      </w:pPr>
      <w:r>
        <w:rPr>
          <w:rFonts w:hint="eastAsia" w:ascii="宋体" w:hAnsi="宋体"/>
          <w:szCs w:val="21"/>
        </w:rPr>
        <w:t>6、拟投入本项目的机械设备：</w:t>
      </w:r>
    </w:p>
    <w:p>
      <w:pPr>
        <w:snapToGrid w:val="0"/>
        <w:spacing w:line="288" w:lineRule="auto"/>
        <w:ind w:firstLine="420" w:firstLineChars="200"/>
        <w:rPr>
          <w:rFonts w:ascii="宋体" w:hAnsi="宋体"/>
          <w:szCs w:val="21"/>
        </w:rPr>
      </w:pPr>
      <w:r>
        <w:rPr>
          <w:rFonts w:hint="eastAsia" w:ascii="宋体" w:hAnsi="宋体"/>
          <w:szCs w:val="21"/>
        </w:rPr>
        <w:t>满足工程施工的进度、质量、安全要求。</w:t>
      </w:r>
    </w:p>
    <w:p>
      <w:pPr>
        <w:snapToGrid w:val="0"/>
        <w:spacing w:line="288" w:lineRule="auto"/>
        <w:ind w:firstLine="420" w:firstLineChars="200"/>
        <w:rPr>
          <w:rFonts w:ascii="宋体" w:hAnsi="宋体"/>
          <w:szCs w:val="21"/>
        </w:rPr>
      </w:pPr>
      <w:r>
        <w:rPr>
          <w:rFonts w:hint="eastAsia" w:ascii="宋体" w:hAnsi="宋体"/>
          <w:szCs w:val="21"/>
        </w:rPr>
        <w:t>7、竞投有效期：</w:t>
      </w:r>
      <w:r>
        <w:rPr>
          <w:rFonts w:hint="eastAsia" w:ascii="宋体" w:hAnsi="宋体"/>
        </w:rPr>
        <w:t>90个日历天（从</w:t>
      </w:r>
      <w:r>
        <w:rPr>
          <w:rFonts w:hint="eastAsia" w:ascii="宋体" w:hAnsi="宋体"/>
          <w:szCs w:val="21"/>
        </w:rPr>
        <w:t>纸质竞投文件递交截止</w:t>
      </w:r>
      <w:r>
        <w:rPr>
          <w:rFonts w:hint="eastAsia" w:ascii="宋体" w:hAnsi="宋体"/>
        </w:rPr>
        <w:t>之日计起）</w:t>
      </w:r>
    </w:p>
    <w:p>
      <w:pPr>
        <w:snapToGrid w:val="0"/>
        <w:spacing w:line="288" w:lineRule="auto"/>
        <w:ind w:firstLine="420" w:firstLineChars="200"/>
        <w:rPr>
          <w:rFonts w:ascii="宋体" w:hAnsi="宋体"/>
          <w:szCs w:val="21"/>
        </w:rPr>
      </w:pPr>
      <w:r>
        <w:rPr>
          <w:rFonts w:hint="eastAsia" w:ascii="宋体" w:hAnsi="宋体"/>
          <w:szCs w:val="21"/>
        </w:rPr>
        <w:t>8、技术标准和要求：</w:t>
      </w:r>
    </w:p>
    <w:p>
      <w:pPr>
        <w:snapToGrid w:val="0"/>
        <w:spacing w:line="288" w:lineRule="auto"/>
        <w:ind w:firstLine="420" w:firstLineChars="200"/>
        <w:rPr>
          <w:rFonts w:ascii="宋体" w:hAnsi="宋体"/>
          <w:szCs w:val="21"/>
        </w:rPr>
      </w:pPr>
      <w:r>
        <w:rPr>
          <w:rFonts w:hint="eastAsia" w:ascii="宋体" w:hAnsi="宋体"/>
          <w:szCs w:val="21"/>
        </w:rPr>
        <w:t>经核对，贵单位提供的中介预算已包含了项目需求书所规定的全部施工内容，工程量亦核实无误。我公司承诺：若我公司中选，则按项目需求书的规定签署施工承包合同；若存在错项和漏项问题，一切责任由我公司负责。</w:t>
      </w:r>
    </w:p>
    <w:p>
      <w:pPr>
        <w:snapToGrid w:val="0"/>
        <w:spacing w:line="288" w:lineRule="auto"/>
        <w:ind w:firstLine="420" w:firstLineChars="200"/>
        <w:rPr>
          <w:rFonts w:ascii="宋体" w:hAnsi="宋体"/>
          <w:szCs w:val="21"/>
        </w:rPr>
      </w:pPr>
      <w:r>
        <w:rPr>
          <w:rFonts w:hint="eastAsia" w:ascii="宋体" w:hAnsi="宋体"/>
          <w:szCs w:val="21"/>
        </w:rPr>
        <w:t>9、其他</w:t>
      </w:r>
    </w:p>
    <w:p>
      <w:pPr>
        <w:snapToGrid w:val="0"/>
        <w:spacing w:line="288" w:lineRule="auto"/>
        <w:ind w:left="840" w:leftChars="400" w:firstLine="4443" w:firstLineChars="2116"/>
        <w:rPr>
          <w:rFonts w:ascii="宋体" w:hAnsi="宋体"/>
          <w:szCs w:val="21"/>
        </w:rPr>
      </w:pPr>
    </w:p>
    <w:p>
      <w:pPr>
        <w:snapToGrid w:val="0"/>
        <w:spacing w:line="288" w:lineRule="auto"/>
        <w:ind w:left="840" w:leftChars="400" w:firstLine="4443" w:firstLineChars="2116"/>
        <w:rPr>
          <w:rFonts w:ascii="宋体" w:hAnsi="宋体"/>
          <w:szCs w:val="21"/>
        </w:rPr>
      </w:pPr>
      <w:r>
        <w:rPr>
          <w:rFonts w:hint="eastAsia" w:ascii="宋体" w:hAnsi="宋体"/>
          <w:szCs w:val="21"/>
        </w:rPr>
        <w:t>承 诺 单 位 (公章)：</w:t>
      </w:r>
    </w:p>
    <w:p>
      <w:pPr>
        <w:snapToGrid w:val="0"/>
        <w:spacing w:line="288" w:lineRule="auto"/>
        <w:ind w:left="840" w:leftChars="400" w:firstLine="3918" w:firstLineChars="1866"/>
        <w:rPr>
          <w:rFonts w:ascii="宋体" w:hAnsi="宋体"/>
          <w:szCs w:val="21"/>
        </w:rPr>
      </w:pPr>
      <w:r>
        <w:rPr>
          <w:rFonts w:hint="eastAsia" w:ascii="宋体" w:hAnsi="宋体"/>
          <w:szCs w:val="21"/>
        </w:rPr>
        <w:t>法定代表人(或法定授权代理人) (签字) ：</w:t>
      </w:r>
    </w:p>
    <w:p>
      <w:pPr>
        <w:spacing w:line="288" w:lineRule="auto"/>
        <w:ind w:left="840" w:leftChars="400" w:firstLine="4620" w:firstLineChars="2200"/>
        <w:rPr>
          <w:rFonts w:ascii="宋体" w:hAnsi="宋体"/>
          <w:szCs w:val="21"/>
        </w:rPr>
      </w:pPr>
      <w:r>
        <w:rPr>
          <w:rFonts w:hint="eastAsia" w:ascii="宋体" w:hAnsi="宋体"/>
          <w:szCs w:val="21"/>
        </w:rPr>
        <w:t>日   期：</w:t>
      </w:r>
    </w:p>
    <w:p>
      <w:pPr>
        <w:spacing w:line="288" w:lineRule="auto"/>
        <w:rPr>
          <w:rFonts w:ascii="宋体" w:hAnsi="宋体"/>
          <w:szCs w:val="21"/>
        </w:rPr>
        <w:sectPr>
          <w:pgSz w:w="11906" w:h="16838"/>
          <w:pgMar w:top="1701" w:right="1418" w:bottom="1418" w:left="1418" w:header="851" w:footer="992" w:gutter="0"/>
          <w:cols w:space="720" w:num="1"/>
          <w:docGrid w:linePitch="312" w:charSpace="0"/>
        </w:sectPr>
      </w:pPr>
    </w:p>
    <w:p>
      <w:pPr>
        <w:pStyle w:val="4"/>
        <w:jc w:val="center"/>
        <w:rPr>
          <w:rFonts w:ascii="宋体" w:hAnsi="宋体"/>
          <w:szCs w:val="21"/>
        </w:rPr>
      </w:pPr>
      <w:bookmarkStart w:id="171" w:name="_Toc398537359"/>
      <w:bookmarkStart w:id="172" w:name="_Toc427572534"/>
      <w:bookmarkStart w:id="173" w:name="_Toc477771301"/>
      <w:bookmarkStart w:id="174" w:name="_Toc381691780"/>
      <w:r>
        <w:rPr>
          <w:rFonts w:hint="eastAsia" w:ascii="宋体" w:hAnsi="宋体"/>
          <w:szCs w:val="21"/>
        </w:rPr>
        <w:t>（二）</w:t>
      </w:r>
      <w:r>
        <w:rPr>
          <w:rFonts w:hint="eastAsia"/>
        </w:rPr>
        <w:t>项目管理机构主要人员配置表</w:t>
      </w:r>
      <w:bookmarkEnd w:id="171"/>
      <w:bookmarkEnd w:id="172"/>
      <w:bookmarkEnd w:id="173"/>
      <w:bookmarkEnd w:id="174"/>
    </w:p>
    <w:p>
      <w:pPr>
        <w:spacing w:line="360" w:lineRule="auto"/>
        <w:rPr>
          <w:rFonts w:ascii="宋体" w:hAnsi="宋体"/>
          <w:szCs w:val="21"/>
        </w:rPr>
      </w:pPr>
    </w:p>
    <w:tbl>
      <w:tblPr>
        <w:tblStyle w:val="11"/>
        <w:tblW w:w="9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26"/>
        <w:gridCol w:w="889"/>
        <w:gridCol w:w="1451"/>
        <w:gridCol w:w="900"/>
        <w:gridCol w:w="1080"/>
        <w:gridCol w:w="1286"/>
        <w:gridCol w:w="132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4" w:type="dxa"/>
            <w:vMerge w:val="restart"/>
            <w:vAlign w:val="center"/>
          </w:tcPr>
          <w:p>
            <w:pPr>
              <w:spacing w:line="360" w:lineRule="auto"/>
              <w:jc w:val="center"/>
              <w:rPr>
                <w:rFonts w:ascii="宋体" w:hAnsi="宋体"/>
                <w:szCs w:val="21"/>
              </w:rPr>
            </w:pPr>
            <w:r>
              <w:rPr>
                <w:rFonts w:hint="eastAsia" w:ascii="宋体" w:hAnsi="宋体"/>
                <w:szCs w:val="21"/>
              </w:rPr>
              <w:t>职务</w:t>
            </w:r>
          </w:p>
        </w:tc>
        <w:tc>
          <w:tcPr>
            <w:tcW w:w="726" w:type="dxa"/>
            <w:vMerge w:val="restart"/>
            <w:vAlign w:val="center"/>
          </w:tcPr>
          <w:p>
            <w:pPr>
              <w:spacing w:line="360" w:lineRule="auto"/>
              <w:jc w:val="center"/>
              <w:rPr>
                <w:rFonts w:ascii="宋体" w:hAnsi="宋体"/>
                <w:szCs w:val="21"/>
              </w:rPr>
            </w:pPr>
            <w:r>
              <w:rPr>
                <w:rFonts w:hint="eastAsia" w:ascii="宋体" w:hAnsi="宋体"/>
                <w:szCs w:val="21"/>
              </w:rPr>
              <w:t>姓名</w:t>
            </w:r>
          </w:p>
        </w:tc>
        <w:tc>
          <w:tcPr>
            <w:tcW w:w="889" w:type="dxa"/>
            <w:vMerge w:val="restart"/>
            <w:vAlign w:val="center"/>
          </w:tcPr>
          <w:p>
            <w:pPr>
              <w:spacing w:line="360" w:lineRule="auto"/>
              <w:jc w:val="center"/>
              <w:rPr>
                <w:rFonts w:ascii="宋体" w:hAnsi="宋体"/>
                <w:szCs w:val="21"/>
              </w:rPr>
            </w:pPr>
            <w:r>
              <w:rPr>
                <w:rFonts w:hint="eastAsia" w:ascii="宋体" w:hAnsi="宋体"/>
                <w:szCs w:val="21"/>
              </w:rPr>
              <w:t>职称</w:t>
            </w:r>
          </w:p>
        </w:tc>
        <w:tc>
          <w:tcPr>
            <w:tcW w:w="6045" w:type="dxa"/>
            <w:gridSpan w:val="5"/>
            <w:vAlign w:val="center"/>
          </w:tcPr>
          <w:p>
            <w:pPr>
              <w:spacing w:line="360" w:lineRule="auto"/>
              <w:jc w:val="center"/>
              <w:rPr>
                <w:rFonts w:ascii="宋体" w:hAnsi="宋体"/>
                <w:szCs w:val="21"/>
              </w:rPr>
            </w:pPr>
            <w:r>
              <w:rPr>
                <w:rFonts w:hint="eastAsia" w:ascii="宋体" w:hAnsi="宋体"/>
                <w:szCs w:val="21"/>
              </w:rPr>
              <w:t>执业或职业资格证明</w:t>
            </w:r>
          </w:p>
        </w:tc>
        <w:tc>
          <w:tcPr>
            <w:tcW w:w="1069" w:type="dxa"/>
            <w:vMerge w:val="restart"/>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14" w:type="dxa"/>
            <w:vMerge w:val="continue"/>
          </w:tcPr>
          <w:p>
            <w:pPr>
              <w:spacing w:line="360" w:lineRule="auto"/>
              <w:rPr>
                <w:rFonts w:ascii="宋体" w:hAnsi="宋体"/>
                <w:szCs w:val="21"/>
              </w:rPr>
            </w:pPr>
          </w:p>
        </w:tc>
        <w:tc>
          <w:tcPr>
            <w:tcW w:w="726" w:type="dxa"/>
            <w:vMerge w:val="continue"/>
          </w:tcPr>
          <w:p>
            <w:pPr>
              <w:spacing w:line="360" w:lineRule="auto"/>
              <w:rPr>
                <w:rFonts w:ascii="宋体" w:hAnsi="宋体"/>
                <w:szCs w:val="21"/>
              </w:rPr>
            </w:pPr>
          </w:p>
        </w:tc>
        <w:tc>
          <w:tcPr>
            <w:tcW w:w="889" w:type="dxa"/>
            <w:vMerge w:val="continue"/>
          </w:tcPr>
          <w:p>
            <w:pPr>
              <w:spacing w:line="360" w:lineRule="auto"/>
              <w:rPr>
                <w:rFonts w:ascii="宋体" w:hAnsi="宋体"/>
                <w:szCs w:val="21"/>
              </w:rPr>
            </w:pPr>
          </w:p>
        </w:tc>
        <w:tc>
          <w:tcPr>
            <w:tcW w:w="1451" w:type="dxa"/>
            <w:vAlign w:val="center"/>
          </w:tcPr>
          <w:p>
            <w:pPr>
              <w:spacing w:line="360" w:lineRule="auto"/>
              <w:jc w:val="center"/>
              <w:rPr>
                <w:rFonts w:ascii="宋体" w:hAnsi="宋体"/>
                <w:szCs w:val="21"/>
              </w:rPr>
            </w:pPr>
            <w:r>
              <w:rPr>
                <w:rFonts w:hint="eastAsia" w:ascii="宋体" w:hAnsi="宋体"/>
                <w:szCs w:val="21"/>
              </w:rPr>
              <w:t>证书名称</w:t>
            </w:r>
          </w:p>
        </w:tc>
        <w:tc>
          <w:tcPr>
            <w:tcW w:w="900" w:type="dxa"/>
            <w:vAlign w:val="center"/>
          </w:tcPr>
          <w:p>
            <w:pPr>
              <w:spacing w:line="360" w:lineRule="auto"/>
              <w:jc w:val="center"/>
              <w:rPr>
                <w:rFonts w:ascii="宋体" w:hAnsi="宋体"/>
                <w:szCs w:val="21"/>
              </w:rPr>
            </w:pPr>
            <w:r>
              <w:rPr>
                <w:rFonts w:hint="eastAsia" w:ascii="宋体" w:hAnsi="宋体"/>
                <w:szCs w:val="21"/>
              </w:rPr>
              <w:t>级别</w:t>
            </w:r>
          </w:p>
        </w:tc>
        <w:tc>
          <w:tcPr>
            <w:tcW w:w="1080" w:type="dxa"/>
            <w:vAlign w:val="center"/>
          </w:tcPr>
          <w:p>
            <w:pPr>
              <w:spacing w:line="360" w:lineRule="auto"/>
              <w:jc w:val="center"/>
              <w:rPr>
                <w:rFonts w:ascii="宋体" w:hAnsi="宋体"/>
                <w:szCs w:val="21"/>
              </w:rPr>
            </w:pPr>
            <w:r>
              <w:rPr>
                <w:rFonts w:hint="eastAsia" w:ascii="宋体" w:hAnsi="宋体"/>
                <w:szCs w:val="21"/>
              </w:rPr>
              <w:t>证号</w:t>
            </w:r>
          </w:p>
        </w:tc>
        <w:tc>
          <w:tcPr>
            <w:tcW w:w="1286" w:type="dxa"/>
            <w:vAlign w:val="center"/>
          </w:tcPr>
          <w:p>
            <w:pPr>
              <w:spacing w:line="360" w:lineRule="auto"/>
              <w:jc w:val="center"/>
              <w:rPr>
                <w:rFonts w:ascii="宋体" w:hAnsi="宋体"/>
                <w:szCs w:val="21"/>
              </w:rPr>
            </w:pPr>
            <w:r>
              <w:rPr>
                <w:rFonts w:hint="eastAsia" w:ascii="宋体" w:hAnsi="宋体"/>
                <w:szCs w:val="21"/>
              </w:rPr>
              <w:t>专业</w:t>
            </w:r>
          </w:p>
        </w:tc>
        <w:tc>
          <w:tcPr>
            <w:tcW w:w="1328" w:type="dxa"/>
            <w:vAlign w:val="center"/>
          </w:tcPr>
          <w:p>
            <w:pPr>
              <w:spacing w:line="360" w:lineRule="auto"/>
              <w:jc w:val="center"/>
              <w:rPr>
                <w:rFonts w:ascii="宋体" w:hAnsi="宋体"/>
                <w:szCs w:val="21"/>
              </w:rPr>
            </w:pPr>
            <w:r>
              <w:rPr>
                <w:rFonts w:hint="eastAsia" w:ascii="宋体" w:hAnsi="宋体"/>
                <w:szCs w:val="21"/>
              </w:rPr>
              <w:t>养老保险</w:t>
            </w:r>
          </w:p>
        </w:tc>
        <w:tc>
          <w:tcPr>
            <w:tcW w:w="1069" w:type="dxa"/>
            <w:vMerge w:val="continue"/>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ind w:firstLine="420" w:firstLineChars="200"/>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14" w:type="dxa"/>
          </w:tcPr>
          <w:p>
            <w:pPr>
              <w:spacing w:line="360" w:lineRule="auto"/>
              <w:rPr>
                <w:rFonts w:ascii="宋体" w:hAnsi="宋体"/>
                <w:szCs w:val="21"/>
              </w:rPr>
            </w:pPr>
          </w:p>
        </w:tc>
        <w:tc>
          <w:tcPr>
            <w:tcW w:w="726" w:type="dxa"/>
          </w:tcPr>
          <w:p>
            <w:pPr>
              <w:spacing w:line="360" w:lineRule="auto"/>
              <w:rPr>
                <w:rFonts w:ascii="宋体" w:hAnsi="宋体"/>
                <w:szCs w:val="21"/>
              </w:rPr>
            </w:pPr>
          </w:p>
        </w:tc>
        <w:tc>
          <w:tcPr>
            <w:tcW w:w="889" w:type="dxa"/>
          </w:tcPr>
          <w:p>
            <w:pPr>
              <w:spacing w:line="360" w:lineRule="auto"/>
              <w:rPr>
                <w:rFonts w:ascii="宋体" w:hAnsi="宋体"/>
                <w:szCs w:val="21"/>
              </w:rPr>
            </w:pPr>
          </w:p>
        </w:tc>
        <w:tc>
          <w:tcPr>
            <w:tcW w:w="1451" w:type="dxa"/>
          </w:tcPr>
          <w:p>
            <w:pPr>
              <w:spacing w:line="360" w:lineRule="auto"/>
              <w:rPr>
                <w:rFonts w:ascii="宋体" w:hAnsi="宋体"/>
                <w:szCs w:val="21"/>
              </w:rPr>
            </w:pPr>
          </w:p>
        </w:tc>
        <w:tc>
          <w:tcPr>
            <w:tcW w:w="900" w:type="dxa"/>
          </w:tcPr>
          <w:p>
            <w:pPr>
              <w:spacing w:line="360" w:lineRule="auto"/>
              <w:rPr>
                <w:rFonts w:ascii="宋体" w:hAnsi="宋体"/>
                <w:szCs w:val="21"/>
              </w:rPr>
            </w:pPr>
          </w:p>
        </w:tc>
        <w:tc>
          <w:tcPr>
            <w:tcW w:w="1080" w:type="dxa"/>
          </w:tcPr>
          <w:p>
            <w:pPr>
              <w:spacing w:line="360" w:lineRule="auto"/>
              <w:rPr>
                <w:rFonts w:ascii="宋体" w:hAnsi="宋体"/>
                <w:szCs w:val="21"/>
              </w:rPr>
            </w:pPr>
          </w:p>
        </w:tc>
        <w:tc>
          <w:tcPr>
            <w:tcW w:w="1286" w:type="dxa"/>
          </w:tcPr>
          <w:p>
            <w:pPr>
              <w:spacing w:line="360" w:lineRule="auto"/>
              <w:rPr>
                <w:rFonts w:ascii="宋体" w:hAnsi="宋体"/>
                <w:szCs w:val="21"/>
              </w:rPr>
            </w:pPr>
          </w:p>
        </w:tc>
        <w:tc>
          <w:tcPr>
            <w:tcW w:w="1328" w:type="dxa"/>
          </w:tcPr>
          <w:p>
            <w:pPr>
              <w:spacing w:line="360" w:lineRule="auto"/>
              <w:rPr>
                <w:rFonts w:ascii="宋体" w:hAnsi="宋体"/>
                <w:szCs w:val="21"/>
              </w:rPr>
            </w:pPr>
          </w:p>
        </w:tc>
        <w:tc>
          <w:tcPr>
            <w:tcW w:w="1069" w:type="dxa"/>
          </w:tcPr>
          <w:p>
            <w:pPr>
              <w:spacing w:line="360" w:lineRule="auto"/>
              <w:rPr>
                <w:rFonts w:ascii="宋体" w:hAnsi="宋体"/>
                <w:szCs w:val="21"/>
              </w:rPr>
            </w:pPr>
          </w:p>
        </w:tc>
      </w:tr>
    </w:tbl>
    <w:p>
      <w:pPr>
        <w:spacing w:line="360" w:lineRule="auto"/>
        <w:rPr>
          <w:rFonts w:ascii="宋体" w:hAnsi="宋体"/>
          <w:szCs w:val="21"/>
        </w:rPr>
      </w:pPr>
      <w:r>
        <w:rPr>
          <w:rFonts w:hint="eastAsia" w:ascii="宋体" w:hAnsi="宋体"/>
          <w:szCs w:val="21"/>
        </w:rPr>
        <w:t>注：</w:t>
      </w:r>
    </w:p>
    <w:p>
      <w:pPr>
        <w:spacing w:line="360" w:lineRule="auto"/>
        <w:rPr>
          <w:rFonts w:ascii="宋体" w:hAnsi="宋体"/>
          <w:b/>
          <w:szCs w:val="21"/>
        </w:rPr>
      </w:pPr>
      <w:r>
        <w:rPr>
          <w:rFonts w:hint="eastAsia" w:ascii="宋体" w:hAnsi="宋体"/>
          <w:b/>
          <w:szCs w:val="21"/>
        </w:rPr>
        <w:t>1、拟报项目管理机构组成表必须满足竞投单位须知前附表10.1款规定，否则评审不合格。</w:t>
      </w:r>
    </w:p>
    <w:p>
      <w:pPr>
        <w:spacing w:line="360" w:lineRule="auto"/>
        <w:rPr>
          <w:rFonts w:ascii="宋体" w:hAnsi="宋体"/>
          <w:b/>
          <w:szCs w:val="21"/>
        </w:rPr>
      </w:pPr>
      <w:r>
        <w:rPr>
          <w:rFonts w:hint="eastAsia" w:ascii="宋体" w:hAnsi="宋体"/>
          <w:b/>
          <w:szCs w:val="21"/>
        </w:rPr>
        <w:t>2、所有复印件必须加盖单位公章，否则废标处理。</w:t>
      </w:r>
    </w:p>
    <w:p>
      <w:pPr>
        <w:spacing w:line="360" w:lineRule="auto"/>
        <w:rPr>
          <w:rFonts w:ascii="宋体" w:hAnsi="宋体"/>
          <w:b/>
          <w:color w:val="FF0000"/>
          <w:szCs w:val="21"/>
        </w:rPr>
      </w:pPr>
      <w:r>
        <w:rPr>
          <w:rFonts w:hint="eastAsia" w:ascii="宋体" w:hAnsi="宋体"/>
          <w:b/>
          <w:color w:val="FF0000"/>
          <w:szCs w:val="21"/>
        </w:rPr>
        <w:t>3、社保证时间要求：近三个月</w:t>
      </w:r>
      <w:r>
        <w:rPr>
          <w:rFonts w:hint="eastAsia" w:ascii="宋体" w:hAnsi="宋体" w:cs="宋体"/>
          <w:b/>
          <w:color w:val="FF0000"/>
          <w:szCs w:val="21"/>
        </w:rPr>
        <w:t>（</w:t>
      </w:r>
      <w:r>
        <w:rPr>
          <w:rFonts w:hint="eastAsia" w:ascii="宋体" w:hAnsi="宋体" w:cs="宋体"/>
          <w:b/>
          <w:color w:val="FF0000"/>
          <w:szCs w:val="21"/>
          <w:lang w:eastAsia="zh-CN"/>
        </w:rPr>
        <w:t>2023年</w:t>
      </w:r>
      <w:r>
        <w:rPr>
          <w:rFonts w:hint="eastAsia" w:ascii="宋体" w:hAnsi="宋体" w:cs="宋体"/>
          <w:b/>
          <w:color w:val="FF0000"/>
          <w:szCs w:val="21"/>
          <w:lang w:val="en-US" w:eastAsia="zh-CN"/>
        </w:rPr>
        <w:t>2</w:t>
      </w:r>
      <w:r>
        <w:rPr>
          <w:rFonts w:hint="eastAsia" w:ascii="宋体" w:hAnsi="宋体" w:cs="宋体"/>
          <w:b/>
          <w:color w:val="FF0000"/>
          <w:szCs w:val="21"/>
          <w:lang w:eastAsia="zh-CN"/>
        </w:rPr>
        <w:t>月-</w:t>
      </w:r>
      <w:r>
        <w:rPr>
          <w:rFonts w:hint="eastAsia" w:ascii="宋体" w:hAnsi="宋体" w:cs="宋体"/>
          <w:b/>
          <w:color w:val="FF0000"/>
          <w:szCs w:val="21"/>
          <w:lang w:val="en-US" w:eastAsia="zh-CN"/>
        </w:rPr>
        <w:t>4</w:t>
      </w:r>
      <w:r>
        <w:rPr>
          <w:rFonts w:hint="eastAsia" w:ascii="宋体" w:hAnsi="宋体" w:cs="宋体"/>
          <w:b/>
          <w:color w:val="FF0000"/>
          <w:szCs w:val="21"/>
          <w:lang w:eastAsia="zh-CN"/>
        </w:rPr>
        <w:t>月</w:t>
      </w:r>
      <w:r>
        <w:rPr>
          <w:rFonts w:hint="eastAsia" w:ascii="宋体" w:hAnsi="宋体" w:cs="宋体"/>
          <w:b/>
          <w:color w:val="FF0000"/>
          <w:szCs w:val="21"/>
        </w:rPr>
        <w:t>）</w:t>
      </w:r>
      <w:r>
        <w:rPr>
          <w:rFonts w:hint="eastAsia" w:ascii="宋体" w:hAnsi="宋体"/>
          <w:b/>
          <w:color w:val="FF0000"/>
          <w:szCs w:val="21"/>
        </w:rPr>
        <w:t>。</w:t>
      </w:r>
    </w:p>
    <w:p>
      <w:pPr>
        <w:spacing w:line="360" w:lineRule="auto"/>
        <w:rPr>
          <w:rFonts w:ascii="宋体" w:hAnsi="宋体"/>
          <w:b/>
          <w:color w:val="FF0000"/>
          <w:szCs w:val="21"/>
        </w:rPr>
      </w:pPr>
    </w:p>
    <w:p>
      <w:pPr>
        <w:spacing w:line="360" w:lineRule="auto"/>
        <w:rPr>
          <w:rFonts w:ascii="宋体" w:hAnsi="宋体"/>
          <w:b/>
          <w:color w:val="FF0000"/>
          <w:szCs w:val="21"/>
        </w:rPr>
      </w:pPr>
    </w:p>
    <w:p>
      <w:pPr>
        <w:spacing w:line="360" w:lineRule="auto"/>
        <w:rPr>
          <w:rFonts w:ascii="宋体" w:hAnsi="宋体"/>
          <w:b/>
          <w:color w:val="FF0000"/>
          <w:szCs w:val="21"/>
        </w:rPr>
      </w:pPr>
    </w:p>
    <w:p>
      <w:pPr>
        <w:rPr>
          <w:rFonts w:hint="eastAsia" w:ascii="宋体" w:hAnsi="宋体"/>
          <w:b/>
          <w:bCs/>
          <w:sz w:val="24"/>
          <w:szCs w:val="21"/>
        </w:rPr>
      </w:pPr>
      <w:r>
        <w:rPr>
          <w:rFonts w:hint="eastAsia" w:ascii="宋体" w:hAnsi="宋体"/>
          <w:b/>
          <w:bCs/>
          <w:sz w:val="24"/>
          <w:szCs w:val="21"/>
        </w:rPr>
        <w:br w:type="page"/>
      </w:r>
    </w:p>
    <w:p>
      <w:pPr>
        <w:jc w:val="center"/>
        <w:rPr>
          <w:rFonts w:ascii="宋体" w:hAnsi="宋体"/>
          <w:b/>
          <w:szCs w:val="21"/>
        </w:rPr>
      </w:pPr>
      <w:r>
        <w:rPr>
          <w:rFonts w:hint="eastAsia" w:ascii="宋体" w:hAnsi="宋体"/>
          <w:b/>
          <w:bCs/>
          <w:sz w:val="24"/>
          <w:szCs w:val="21"/>
        </w:rPr>
        <w:t>（三）竞投单位须知前附表规定的其他材料</w:t>
      </w:r>
    </w:p>
    <w:p/>
    <w:p/>
    <w:p/>
    <w:p/>
    <w:p/>
    <w:p/>
    <w:p/>
    <w:p/>
    <w:p/>
    <w:p/>
    <w:p/>
    <w:p/>
    <w:p/>
    <w:p/>
    <w:p/>
    <w:p/>
    <w:p/>
    <w:p/>
    <w:p/>
    <w:p/>
    <w:p/>
    <w:p/>
    <w:p/>
    <w:p/>
    <w:p/>
    <w:p/>
    <w:p/>
    <w:p/>
    <w:p/>
    <w:p/>
    <w:p/>
    <w:p/>
    <w:p/>
    <w:p/>
    <w:p/>
    <w:p/>
    <w:p/>
    <w:p/>
    <w:p/>
    <w:p/>
    <w:p/>
    <w:p/>
    <w:p/>
    <w:p/>
    <w:p/>
    <w:p/>
    <w:p/>
    <w:p/>
    <w:p/>
    <w:p/>
    <w:p/>
    <w:p/>
    <w:p>
      <w:pPr>
        <w:spacing w:line="360" w:lineRule="auto"/>
        <w:rPr>
          <w:rFonts w:ascii="宋体" w:hAnsi="宋体"/>
          <w:szCs w:val="21"/>
        </w:rPr>
        <w:sectPr>
          <w:pgSz w:w="11906" w:h="16838"/>
          <w:pgMar w:top="1701" w:right="1418" w:bottom="1418" w:left="1418" w:header="851" w:footer="992" w:gutter="0"/>
          <w:cols w:space="720" w:num="1"/>
          <w:docGrid w:linePitch="312" w:charSpace="0"/>
        </w:sectPr>
      </w:pPr>
    </w:p>
    <w:p/>
    <w:p>
      <w:pPr>
        <w:spacing w:line="360" w:lineRule="auto"/>
        <w:ind w:right="560"/>
        <w:jc w:val="right"/>
        <w:rPr>
          <w:rFonts w:ascii="宋体" w:hAnsi="宋体"/>
          <w:sz w:val="28"/>
          <w:szCs w:val="28"/>
        </w:rPr>
      </w:pPr>
      <w:r>
        <w:rPr>
          <w:rFonts w:hint="eastAsia" w:ascii="宋体" w:hAnsi="宋体"/>
          <w:sz w:val="28"/>
          <w:szCs w:val="28"/>
        </w:rPr>
        <w:t>正（副）本</w:t>
      </w:r>
    </w:p>
    <w:p>
      <w:pPr>
        <w:spacing w:line="360" w:lineRule="auto"/>
        <w:ind w:firstLine="420" w:firstLineChars="200"/>
        <w:jc w:val="center"/>
        <w:rPr>
          <w:rFonts w:ascii="宋体" w:hAnsi="宋体"/>
          <w:szCs w:val="21"/>
        </w:rPr>
      </w:pPr>
    </w:p>
    <w:p>
      <w:pPr>
        <w:spacing w:line="360" w:lineRule="auto"/>
        <w:jc w:val="center"/>
        <w:rPr>
          <w:rFonts w:ascii="宋体" w:hAnsi="宋体" w:cs="宋体"/>
          <w:b/>
          <w:sz w:val="52"/>
          <w:szCs w:val="52"/>
        </w:rPr>
      </w:pPr>
      <w:r>
        <w:rPr>
          <w:rFonts w:hint="eastAsia" w:ascii="宋体" w:hAnsi="宋体" w:cs="宋体"/>
          <w:b/>
          <w:sz w:val="52"/>
          <w:szCs w:val="52"/>
          <w:u w:val="single"/>
        </w:rPr>
        <w:t xml:space="preserve">                </w:t>
      </w:r>
      <w:r>
        <w:rPr>
          <w:rFonts w:hint="eastAsia" w:ascii="宋体" w:hAnsi="宋体" w:cs="宋体"/>
          <w:b/>
          <w:sz w:val="52"/>
          <w:szCs w:val="52"/>
        </w:rPr>
        <w:t>工程</w:t>
      </w:r>
    </w:p>
    <w:p>
      <w:pPr>
        <w:spacing w:line="360" w:lineRule="auto"/>
        <w:jc w:val="center"/>
        <w:rPr>
          <w:rFonts w:ascii="宋体" w:hAnsi="宋体" w:cs="宋体"/>
          <w:b/>
          <w:sz w:val="52"/>
          <w:szCs w:val="52"/>
        </w:rPr>
      </w:pPr>
    </w:p>
    <w:p>
      <w:pPr>
        <w:spacing w:line="360" w:lineRule="auto"/>
        <w:jc w:val="center"/>
        <w:rPr>
          <w:rFonts w:ascii="宋体" w:hAnsi="宋体" w:cs="宋体"/>
          <w:b/>
          <w:sz w:val="52"/>
          <w:szCs w:val="52"/>
        </w:rPr>
      </w:pPr>
    </w:p>
    <w:p>
      <w:pPr>
        <w:spacing w:line="360" w:lineRule="auto"/>
        <w:jc w:val="center"/>
        <w:rPr>
          <w:rFonts w:ascii="宋体" w:hAnsi="宋体"/>
          <w:sz w:val="72"/>
          <w:szCs w:val="72"/>
        </w:rPr>
      </w:pPr>
      <w:r>
        <w:rPr>
          <w:rFonts w:hint="eastAsia" w:ascii="宋体" w:hAnsi="宋体"/>
          <w:sz w:val="72"/>
          <w:szCs w:val="72"/>
        </w:rPr>
        <w:t>竞 投 文 件</w:t>
      </w:r>
    </w:p>
    <w:p>
      <w:pPr>
        <w:spacing w:line="360" w:lineRule="auto"/>
        <w:rPr>
          <w:rFonts w:ascii="宋体" w:hAnsi="宋体"/>
          <w:szCs w:val="21"/>
        </w:rPr>
      </w:pPr>
    </w:p>
    <w:p>
      <w:pPr>
        <w:spacing w:line="360" w:lineRule="auto"/>
        <w:jc w:val="center"/>
        <w:rPr>
          <w:rFonts w:ascii="宋体" w:hAnsi="宋体"/>
          <w:sz w:val="48"/>
          <w:szCs w:val="48"/>
        </w:rPr>
      </w:pPr>
      <w:r>
        <w:rPr>
          <w:rFonts w:hint="eastAsia" w:ascii="宋体" w:hAnsi="宋体"/>
          <w:sz w:val="48"/>
          <w:szCs w:val="48"/>
        </w:rPr>
        <w:t>经济竞投文件</w:t>
      </w:r>
    </w:p>
    <w:p>
      <w:pPr>
        <w:snapToGrid w:val="0"/>
        <w:spacing w:line="360" w:lineRule="auto"/>
        <w:jc w:val="center"/>
        <w:rPr>
          <w:rFonts w:ascii="宋体" w:hAnsi="宋体"/>
          <w:szCs w:val="21"/>
        </w:rPr>
      </w:pPr>
      <w:r>
        <w:rPr>
          <w:rFonts w:hint="eastAsia" w:ascii="宋体" w:hAnsi="宋体"/>
          <w:sz w:val="28"/>
          <w:szCs w:val="28"/>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宋体" w:hAnsi="宋体"/>
          <w:sz w:val="28"/>
          <w:szCs w:val="28"/>
        </w:rPr>
      </w:pPr>
      <w:r>
        <w:rPr>
          <w:rFonts w:hint="eastAsia" w:ascii="宋体" w:hAnsi="宋体"/>
          <w:sz w:val="28"/>
          <w:szCs w:val="28"/>
        </w:rPr>
        <w:t>竞投单位：</w:t>
      </w:r>
      <w:r>
        <w:rPr>
          <w:rFonts w:hint="eastAsia" w:ascii="宋体" w:hAnsi="宋体"/>
          <w:sz w:val="28"/>
          <w:szCs w:val="28"/>
          <w:u w:val="single"/>
        </w:rPr>
        <w:t xml:space="preserve">                       </w:t>
      </w:r>
      <w:r>
        <w:rPr>
          <w:rFonts w:hint="eastAsia" w:ascii="宋体" w:hAnsi="宋体"/>
          <w:sz w:val="28"/>
          <w:szCs w:val="28"/>
        </w:rPr>
        <w:t>（盖单位章）</w:t>
      </w:r>
    </w:p>
    <w:p>
      <w:pPr>
        <w:spacing w:line="360" w:lineRule="auto"/>
        <w:jc w:val="center"/>
        <w:rPr>
          <w:rFonts w:ascii="宋体" w:hAnsi="宋体"/>
          <w:sz w:val="28"/>
          <w:szCs w:val="28"/>
        </w:rPr>
      </w:pPr>
    </w:p>
    <w:p>
      <w:pPr>
        <w:spacing w:line="360" w:lineRule="auto"/>
        <w:jc w:val="center"/>
        <w:rPr>
          <w:rFonts w:ascii="宋体" w:hAnsi="宋体"/>
          <w:sz w:val="28"/>
          <w:szCs w:val="28"/>
        </w:rPr>
      </w:pPr>
      <w:r>
        <w:rPr>
          <w:rFonts w:hint="eastAsia" w:ascii="宋体" w:hAnsi="宋体"/>
          <w:sz w:val="28"/>
          <w:szCs w:val="28"/>
        </w:rPr>
        <w:t>法定代表人或授权代理人：</w:t>
      </w:r>
      <w:r>
        <w:rPr>
          <w:rFonts w:hint="eastAsia" w:ascii="宋体" w:hAnsi="宋体"/>
          <w:sz w:val="28"/>
          <w:szCs w:val="28"/>
          <w:u w:val="single"/>
        </w:rPr>
        <w:t xml:space="preserve">            </w:t>
      </w:r>
      <w:r>
        <w:rPr>
          <w:rFonts w:hint="eastAsia" w:ascii="宋体" w:hAnsi="宋体"/>
          <w:sz w:val="28"/>
          <w:szCs w:val="28"/>
        </w:rPr>
        <w:t>（签字）</w:t>
      </w:r>
    </w:p>
    <w:p>
      <w:pPr>
        <w:spacing w:line="360" w:lineRule="auto"/>
        <w:ind w:firstLine="1960" w:firstLineChars="700"/>
        <w:rPr>
          <w:rFonts w:ascii="宋体" w:hAnsi="宋体"/>
          <w:sz w:val="28"/>
          <w:szCs w:val="28"/>
        </w:rPr>
      </w:pPr>
    </w:p>
    <w:p>
      <w:pPr>
        <w:spacing w:line="360" w:lineRule="auto"/>
        <w:jc w:val="center"/>
        <w:rPr>
          <w:rFonts w:ascii="宋体" w:hAnsi="宋体"/>
          <w:sz w:val="28"/>
          <w:szCs w:val="28"/>
        </w:rPr>
      </w:pPr>
      <w:r>
        <w:rPr>
          <w:rFonts w:hint="eastAsia" w:ascii="宋体" w:hAnsi="宋体"/>
          <w:sz w:val="28"/>
          <w:szCs w:val="28"/>
        </w:rPr>
        <w:t>编制人：</w:t>
      </w:r>
      <w:r>
        <w:rPr>
          <w:rFonts w:hint="eastAsia" w:ascii="宋体" w:hAnsi="宋体"/>
          <w:sz w:val="28"/>
          <w:szCs w:val="28"/>
          <w:u w:val="single"/>
        </w:rPr>
        <w:t xml:space="preserve">                  （</w:t>
      </w:r>
      <w:r>
        <w:rPr>
          <w:rFonts w:hint="eastAsia" w:ascii="宋体" w:hAnsi="宋体"/>
          <w:sz w:val="28"/>
          <w:szCs w:val="28"/>
        </w:rPr>
        <w:t>签字）</w:t>
      </w:r>
    </w:p>
    <w:p>
      <w:pPr>
        <w:spacing w:line="360" w:lineRule="auto"/>
        <w:jc w:val="center"/>
        <w:rPr>
          <w:rFonts w:ascii="宋体" w:hAnsi="宋体"/>
          <w:szCs w:val="21"/>
          <w:u w:val="single"/>
        </w:rPr>
      </w:pPr>
    </w:p>
    <w:p>
      <w:pPr>
        <w:spacing w:line="360" w:lineRule="auto"/>
        <w:jc w:val="center"/>
        <w:rPr>
          <w:rFonts w:ascii="宋体" w:hAnsi="宋体"/>
          <w:sz w:val="28"/>
          <w:szCs w:val="28"/>
        </w:rPr>
      </w:pPr>
      <w:r>
        <w:rPr>
          <w:rFonts w:hint="eastAsia" w:ascii="宋体" w:hAnsi="宋体"/>
          <w:szCs w:val="21"/>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360" w:lineRule="auto"/>
        <w:jc w:val="left"/>
        <w:rPr>
          <w:rFonts w:ascii="宋体" w:hAnsi="宋体"/>
          <w:szCs w:val="21"/>
        </w:rPr>
      </w:pPr>
    </w:p>
    <w:p>
      <w:pPr>
        <w:spacing w:line="360" w:lineRule="auto"/>
        <w:rPr>
          <w:rFonts w:ascii="宋体" w:hAnsi="宋体"/>
          <w:szCs w:val="21"/>
        </w:rPr>
        <w:sectPr>
          <w:pgSz w:w="11906" w:h="16838"/>
          <w:pgMar w:top="1701" w:right="1418" w:bottom="1418" w:left="1418" w:header="851" w:footer="992" w:gutter="0"/>
          <w:cols w:space="720" w:num="1"/>
          <w:docGrid w:linePitch="312" w:charSpace="0"/>
        </w:sectPr>
      </w:pPr>
      <w:r>
        <w:rPr>
          <w:rFonts w:hint="eastAsia" w:ascii="宋体" w:hAnsi="宋体"/>
          <w:szCs w:val="21"/>
        </w:rPr>
        <w:t>说明：本封面仅供参考，格式由竞投单位自定，但必须包括工程名称、“正本”或“副本”字样（电子标书免）， “经济竞投文件”字样、竞投单位名称、竞投单位单位公章、竞投单位法定代表人或其法定授权代理人签字、编制人签字。</w:t>
      </w:r>
    </w:p>
    <w:p>
      <w:pPr>
        <w:pStyle w:val="4"/>
        <w:jc w:val="center"/>
        <w:rPr>
          <w:sz w:val="28"/>
          <w:szCs w:val="28"/>
        </w:rPr>
      </w:pPr>
      <w:bookmarkStart w:id="175" w:name="_Toc477771302"/>
      <w:bookmarkStart w:id="176" w:name="_Toc427572535"/>
      <w:bookmarkStart w:id="177" w:name="_Toc398537360"/>
      <w:bookmarkStart w:id="178" w:name="_Toc381691781"/>
      <w:r>
        <w:rPr>
          <w:rFonts w:hint="eastAsia"/>
          <w:sz w:val="28"/>
          <w:szCs w:val="28"/>
        </w:rPr>
        <w:t>目  录</w:t>
      </w:r>
      <w:bookmarkEnd w:id="175"/>
      <w:bookmarkEnd w:id="176"/>
      <w:bookmarkEnd w:id="177"/>
      <w:bookmarkEnd w:id="178"/>
    </w:p>
    <w:p>
      <w:pPr>
        <w:rPr>
          <w:rFonts w:ascii="宋体" w:hAnsi="宋体"/>
          <w:szCs w:val="21"/>
        </w:rPr>
      </w:pPr>
    </w:p>
    <w:p>
      <w:r>
        <w:rPr>
          <w:rFonts w:hint="eastAsia"/>
        </w:rPr>
        <w:t>一、竞投报价汇总表（其中的</w:t>
      </w:r>
      <w:r>
        <w:rPr>
          <w:rFonts w:hint="eastAsia" w:ascii="宋体" w:hAnsi="宋体"/>
          <w:szCs w:val="21"/>
        </w:rPr>
        <w:t>绿色施工安全防护措施费须在此表中单列）</w:t>
      </w:r>
    </w:p>
    <w:p/>
    <w:p>
      <w:r>
        <w:rPr>
          <w:rFonts w:hint="eastAsia"/>
        </w:rPr>
        <w:t>二、已标价工程量清单</w:t>
      </w:r>
    </w:p>
    <w:p/>
    <w:p>
      <w:r>
        <w:rPr>
          <w:rFonts w:hint="eastAsia"/>
        </w:rPr>
        <w:t>三、其他</w:t>
      </w:r>
    </w:p>
    <w:p>
      <w:pPr>
        <w:rPr>
          <w:rFonts w:ascii="Arial" w:hAnsi="Arial"/>
          <w:b/>
          <w:bCs/>
          <w:szCs w:val="28"/>
        </w:rPr>
      </w:pPr>
    </w:p>
    <w:p>
      <w:pPr>
        <w:rPr>
          <w:rFonts w:ascii="Arial" w:hAnsi="Arial"/>
          <w:b/>
          <w:bCs/>
          <w:szCs w:val="28"/>
        </w:rPr>
      </w:pPr>
    </w:p>
    <w:p>
      <w:pPr>
        <w:rPr>
          <w:rFonts w:ascii="Arial" w:hAnsi="Arial"/>
          <w:b/>
          <w:bCs/>
          <w:szCs w:val="28"/>
        </w:rPr>
      </w:pPr>
    </w:p>
    <w:p>
      <w:pPr>
        <w:rPr>
          <w:rFonts w:ascii="Arial" w:hAnsi="Arial"/>
          <w:b/>
          <w:bCs/>
          <w:szCs w:val="28"/>
        </w:rPr>
      </w:pPr>
    </w:p>
    <w:p>
      <w:pPr>
        <w:rPr>
          <w:rFonts w:ascii="Arial" w:hAnsi="Arial"/>
          <w:b/>
          <w:bCs/>
          <w:szCs w:val="28"/>
        </w:rPr>
      </w:pPr>
    </w:p>
    <w:p>
      <w:pPr>
        <w:rPr>
          <w:rFonts w:ascii="Arial" w:hAnsi="Arial"/>
          <w:b/>
          <w:bCs/>
          <w:szCs w:val="28"/>
        </w:rPr>
      </w:pPr>
    </w:p>
    <w:p>
      <w:pPr>
        <w:rPr>
          <w:rFonts w:ascii="Arial" w:hAnsi="Arial"/>
          <w:b/>
          <w:bCs/>
          <w:szCs w:val="28"/>
        </w:rPr>
      </w:pPr>
    </w:p>
    <w:p>
      <w:pPr>
        <w:rPr>
          <w:rFonts w:ascii="Arial" w:hAnsi="Arial"/>
          <w:b/>
          <w:bCs/>
          <w:szCs w:val="28"/>
        </w:rPr>
        <w:sectPr>
          <w:pgSz w:w="11906" w:h="16838"/>
          <w:pgMar w:top="1701" w:right="1418" w:bottom="1418" w:left="1418" w:header="851" w:footer="992" w:gutter="0"/>
          <w:cols w:space="720" w:num="1"/>
          <w:docGrid w:linePitch="312" w:charSpace="0"/>
        </w:sectPr>
      </w:pPr>
    </w:p>
    <w:p>
      <w:pPr>
        <w:jc w:val="center"/>
        <w:rPr>
          <w:b/>
        </w:rPr>
      </w:pPr>
      <w:r>
        <w:rPr>
          <w:rFonts w:hint="eastAsia" w:ascii="宋体" w:hAnsi="宋体"/>
          <w:b/>
          <w:bCs/>
          <w:sz w:val="24"/>
          <w:szCs w:val="21"/>
        </w:rPr>
        <w:t>一、竞投报价汇总表</w:t>
      </w:r>
    </w:p>
    <w:p>
      <w:pPr>
        <w:jc w:val="center"/>
      </w:pPr>
      <w:r>
        <w:rPr>
          <w:rFonts w:hint="eastAsia"/>
        </w:rPr>
        <w:t>（其中的</w:t>
      </w:r>
      <w:r>
        <w:rPr>
          <w:rFonts w:hint="eastAsia" w:ascii="宋体" w:hAnsi="宋体"/>
          <w:szCs w:val="21"/>
        </w:rPr>
        <w:t>绿色施工安全防护措施费须在此表中单列）</w:t>
      </w: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r>
        <w:rPr>
          <w:rFonts w:hint="eastAsia" w:ascii="宋体" w:hAnsi="宋体"/>
          <w:b/>
          <w:sz w:val="30"/>
          <w:szCs w:val="30"/>
        </w:rPr>
        <w:t>竞投报价汇总表</w:t>
      </w:r>
    </w:p>
    <w:p>
      <w:pPr>
        <w:snapToGrid w:val="0"/>
        <w:spacing w:line="360" w:lineRule="auto"/>
        <w:jc w:val="center"/>
        <w:rPr>
          <w:rFonts w:ascii="宋体" w:hAnsi="宋体"/>
          <w:sz w:val="28"/>
          <w:szCs w:val="28"/>
        </w:rPr>
      </w:pPr>
      <w:r>
        <w:rPr>
          <w:rFonts w:hint="eastAsia" w:ascii="宋体" w:hAnsi="宋体"/>
          <w:sz w:val="28"/>
          <w:szCs w:val="28"/>
        </w:rPr>
        <w:t>（适用于纸质竞投文件）</w:t>
      </w:r>
    </w:p>
    <w:p>
      <w:pPr>
        <w:snapToGrid w:val="0"/>
        <w:spacing w:line="360" w:lineRule="auto"/>
        <w:ind w:firstLine="28"/>
        <w:rPr>
          <w:rFonts w:ascii="宋体" w:hAnsi="宋体"/>
          <w:szCs w:val="21"/>
        </w:rPr>
      </w:pPr>
      <w:r>
        <w:rPr>
          <w:rFonts w:hint="eastAsia" w:ascii="宋体" w:hAnsi="宋体"/>
          <w:szCs w:val="21"/>
        </w:rPr>
        <w:t>建设单位（项目需求单位））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ind w:left="1050" w:hanging="1050" w:hangingChars="500"/>
        <w:rPr>
          <w:rFonts w:ascii="宋体" w:hAnsi="宋体"/>
          <w:szCs w:val="21"/>
          <w:u w:val="single"/>
        </w:rPr>
      </w:pPr>
      <w:r>
        <w:rPr>
          <w:rFonts w:hint="eastAsia" w:ascii="宋体" w:hAnsi="宋体"/>
          <w:szCs w:val="21"/>
        </w:rPr>
        <w:t>工程名称</w:t>
      </w:r>
      <w:r>
        <w:rPr>
          <w:rFonts w:hint="eastAsia" w:ascii="宋体" w:hAnsi="宋体"/>
          <w:szCs w:val="21"/>
          <w:u w:val="single"/>
        </w:rPr>
        <w:t xml:space="preserve">：                                     </w:t>
      </w:r>
    </w:p>
    <w:p>
      <w:pPr>
        <w:snapToGrid w:val="0"/>
        <w:spacing w:line="360" w:lineRule="auto"/>
        <w:rPr>
          <w:rFonts w:ascii="宋体" w:hAnsi="宋体"/>
          <w:szCs w:val="21"/>
          <w:lang w:val="en-GB"/>
        </w:rPr>
      </w:pPr>
      <w:r>
        <w:rPr>
          <w:rFonts w:hint="eastAsia" w:ascii="宋体" w:hAnsi="宋体"/>
          <w:szCs w:val="21"/>
        </w:rPr>
        <w:t>竞投总价（含税价）：（小写）人民币</w:t>
      </w:r>
      <w:r>
        <w:rPr>
          <w:rFonts w:hint="eastAsia" w:ascii="宋体" w:hAnsi="宋体"/>
          <w:szCs w:val="21"/>
          <w:u w:val="single"/>
        </w:rPr>
        <w:t xml:space="preserve">                             </w:t>
      </w:r>
      <w:r>
        <w:rPr>
          <w:rFonts w:hint="eastAsia" w:ascii="宋体" w:hAnsi="宋体"/>
          <w:szCs w:val="21"/>
        </w:rPr>
        <w:t>元</w:t>
      </w:r>
    </w:p>
    <w:p>
      <w:pPr>
        <w:snapToGrid w:val="0"/>
        <w:spacing w:line="360" w:lineRule="auto"/>
        <w:rPr>
          <w:rFonts w:ascii="宋体" w:hAnsi="宋体"/>
          <w:szCs w:val="21"/>
        </w:rPr>
      </w:pPr>
      <w:r>
        <w:rPr>
          <w:rFonts w:hint="eastAsia" w:ascii="宋体" w:hAnsi="宋体"/>
          <w:szCs w:val="21"/>
        </w:rPr>
        <w:t xml:space="preserve">                  （大写）人民币</w:t>
      </w:r>
      <w:r>
        <w:rPr>
          <w:rFonts w:hint="eastAsia" w:ascii="宋体" w:hAnsi="宋体"/>
          <w:szCs w:val="21"/>
          <w:u w:val="single"/>
        </w:rPr>
        <w:t xml:space="preserve">                             </w:t>
      </w:r>
      <w:r>
        <w:rPr>
          <w:rFonts w:hint="eastAsia" w:ascii="宋体" w:hAnsi="宋体"/>
          <w:szCs w:val="21"/>
        </w:rPr>
        <w:t>元</w:t>
      </w:r>
    </w:p>
    <w:p>
      <w:pPr>
        <w:snapToGrid w:val="0"/>
        <w:spacing w:line="360" w:lineRule="auto"/>
        <w:rPr>
          <w:rFonts w:ascii="宋体" w:hAnsi="宋体"/>
          <w:szCs w:val="21"/>
        </w:rPr>
      </w:pPr>
      <w:r>
        <w:rPr>
          <w:rFonts w:hint="eastAsia" w:ascii="宋体" w:hAnsi="宋体"/>
          <w:szCs w:val="21"/>
        </w:rPr>
        <w:t>上述报价已经包含绿色施工安全防护措施费。</w:t>
      </w:r>
    </w:p>
    <w:p>
      <w:pPr>
        <w:snapToGrid w:val="0"/>
        <w:spacing w:line="360" w:lineRule="auto"/>
        <w:rPr>
          <w:rFonts w:ascii="宋体" w:hAnsi="宋体"/>
          <w:szCs w:val="21"/>
        </w:rPr>
      </w:pPr>
      <w:r>
        <w:rPr>
          <w:rFonts w:hint="eastAsia" w:ascii="宋体" w:hAnsi="宋体"/>
          <w:szCs w:val="21"/>
        </w:rPr>
        <w:t>（1）绿色施工安全防护措施费（不含税）：</w:t>
      </w:r>
    </w:p>
    <w:p>
      <w:pPr>
        <w:snapToGrid w:val="0"/>
        <w:spacing w:line="360" w:lineRule="auto"/>
        <w:ind w:firstLine="1050" w:firstLineChars="500"/>
        <w:rPr>
          <w:rFonts w:ascii="宋体" w:hAnsi="宋体"/>
          <w:szCs w:val="21"/>
        </w:rPr>
      </w:pPr>
      <w:r>
        <w:rPr>
          <w:rFonts w:hint="eastAsia" w:ascii="宋体" w:hAnsi="宋体"/>
          <w:szCs w:val="21"/>
        </w:rPr>
        <w:t>（小写）人民币</w:t>
      </w:r>
      <w:r>
        <w:rPr>
          <w:rFonts w:hint="eastAsia" w:ascii="宋体" w:hAnsi="宋体"/>
          <w:szCs w:val="21"/>
          <w:u w:val="single"/>
        </w:rPr>
        <w:t xml:space="preserve">                            </w:t>
      </w:r>
      <w:r>
        <w:rPr>
          <w:rFonts w:hint="eastAsia" w:ascii="宋体" w:hAnsi="宋体"/>
          <w:szCs w:val="21"/>
        </w:rPr>
        <w:t>元</w:t>
      </w:r>
    </w:p>
    <w:p>
      <w:pPr>
        <w:snapToGrid w:val="0"/>
        <w:spacing w:line="360" w:lineRule="auto"/>
        <w:ind w:firstLine="1050" w:firstLineChars="500"/>
        <w:rPr>
          <w:rFonts w:ascii="宋体" w:hAnsi="宋体"/>
          <w:szCs w:val="21"/>
        </w:rPr>
      </w:pPr>
      <w:r>
        <w:rPr>
          <w:rFonts w:hint="eastAsia" w:ascii="宋体" w:hAnsi="宋体"/>
          <w:szCs w:val="21"/>
        </w:rPr>
        <w:t>（大写）人民币</w:t>
      </w:r>
      <w:r>
        <w:rPr>
          <w:rFonts w:hint="eastAsia" w:ascii="宋体" w:hAnsi="宋体"/>
          <w:szCs w:val="21"/>
          <w:u w:val="single"/>
        </w:rPr>
        <w:t xml:space="preserve">                            </w:t>
      </w:r>
      <w:r>
        <w:rPr>
          <w:rFonts w:hint="eastAsia" w:ascii="宋体" w:hAnsi="宋体"/>
          <w:szCs w:val="21"/>
        </w:rPr>
        <w:t>元</w:t>
      </w:r>
    </w:p>
    <w:p>
      <w:pPr>
        <w:snapToGrid w:val="0"/>
        <w:spacing w:line="360" w:lineRule="auto"/>
        <w:rPr>
          <w:rFonts w:ascii="宋体" w:hAnsi="宋体"/>
          <w:b/>
          <w:szCs w:val="21"/>
        </w:rPr>
      </w:pPr>
      <w:r>
        <w:rPr>
          <w:rFonts w:hint="eastAsia" w:ascii="宋体" w:hAnsi="宋体"/>
          <w:b/>
          <w:szCs w:val="21"/>
        </w:rPr>
        <w:t>（有效绿色施工安全防护措施费报价大于或等于答疑时公布的竞投控制价该部分价格的100%）</w:t>
      </w:r>
    </w:p>
    <w:p>
      <w:pPr>
        <w:snapToGrid w:val="0"/>
        <w:spacing w:line="360" w:lineRule="auto"/>
        <w:rPr>
          <w:rFonts w:ascii="宋体" w:hAnsi="宋体"/>
          <w:szCs w:val="21"/>
        </w:rPr>
      </w:pPr>
      <w:r>
        <w:rPr>
          <w:rFonts w:hint="eastAsia" w:ascii="宋体" w:hAnsi="宋体"/>
          <w:szCs w:val="21"/>
        </w:rPr>
        <w:t>（2）本工程“竞投总价”由</w:t>
      </w:r>
      <w:r>
        <w:rPr>
          <w:rFonts w:hint="eastAsia" w:ascii="宋体" w:hAnsi="宋体"/>
          <w:szCs w:val="21"/>
          <w:u w:val="single"/>
        </w:rPr>
        <w:t xml:space="preserve">    </w:t>
      </w:r>
      <w:r>
        <w:rPr>
          <w:rFonts w:hint="eastAsia" w:ascii="宋体" w:hAnsi="宋体"/>
          <w:szCs w:val="21"/>
        </w:rPr>
        <w:t>项分项工程竞投价组成，分别如下：</w:t>
      </w:r>
    </w:p>
    <w:tbl>
      <w:tblPr>
        <w:tblStyle w:val="11"/>
        <w:tblW w:w="8946" w:type="dxa"/>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578"/>
        <w:gridCol w:w="1800"/>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1" w:type="dxa"/>
            <w:vAlign w:val="center"/>
          </w:tcPr>
          <w:p>
            <w:pPr>
              <w:snapToGrid w:val="0"/>
              <w:jc w:val="center"/>
              <w:rPr>
                <w:rFonts w:ascii="宋体" w:hAnsi="宋体"/>
                <w:szCs w:val="21"/>
              </w:rPr>
            </w:pPr>
            <w:r>
              <w:rPr>
                <w:rFonts w:hint="eastAsia" w:ascii="宋体" w:hAnsi="宋体"/>
                <w:szCs w:val="21"/>
              </w:rPr>
              <w:t>序号</w:t>
            </w:r>
          </w:p>
        </w:tc>
        <w:tc>
          <w:tcPr>
            <w:tcW w:w="4578" w:type="dxa"/>
            <w:vAlign w:val="center"/>
          </w:tcPr>
          <w:p>
            <w:pPr>
              <w:snapToGrid w:val="0"/>
              <w:jc w:val="center"/>
              <w:rPr>
                <w:rFonts w:ascii="宋体" w:hAnsi="宋体"/>
                <w:szCs w:val="21"/>
              </w:rPr>
            </w:pPr>
            <w:r>
              <w:rPr>
                <w:rFonts w:hint="eastAsia" w:ascii="宋体" w:hAnsi="宋体"/>
                <w:szCs w:val="21"/>
              </w:rPr>
              <w:t>分项工程名称</w:t>
            </w:r>
          </w:p>
        </w:tc>
        <w:tc>
          <w:tcPr>
            <w:tcW w:w="1800" w:type="dxa"/>
            <w:vAlign w:val="center"/>
          </w:tcPr>
          <w:p>
            <w:pPr>
              <w:snapToGrid w:val="0"/>
              <w:jc w:val="center"/>
              <w:rPr>
                <w:rFonts w:ascii="宋体" w:hAnsi="宋体"/>
                <w:szCs w:val="21"/>
              </w:rPr>
            </w:pPr>
            <w:r>
              <w:rPr>
                <w:rFonts w:hint="eastAsia" w:ascii="宋体" w:hAnsi="宋体"/>
                <w:szCs w:val="21"/>
              </w:rPr>
              <w:t>竞投价（元）</w:t>
            </w:r>
          </w:p>
        </w:tc>
        <w:tc>
          <w:tcPr>
            <w:tcW w:w="1817" w:type="dxa"/>
            <w:vAlign w:val="center"/>
          </w:tcPr>
          <w:p>
            <w:pPr>
              <w:snapToGrid w:val="0"/>
              <w:rPr>
                <w:rFonts w:ascii="宋体" w:hAnsi="宋体"/>
                <w:szCs w:val="21"/>
              </w:rPr>
            </w:pPr>
            <w:r>
              <w:rPr>
                <w:rFonts w:hint="eastAsia" w:ascii="宋体" w:hAnsi="宋体"/>
                <w:szCs w:val="21"/>
              </w:rPr>
              <w:t>绿色施工安全防护措施费（不含税）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1" w:type="dxa"/>
            <w:vAlign w:val="center"/>
          </w:tcPr>
          <w:p>
            <w:pPr>
              <w:snapToGrid w:val="0"/>
              <w:jc w:val="center"/>
              <w:rPr>
                <w:rFonts w:ascii="宋体" w:hAnsi="宋体"/>
                <w:szCs w:val="21"/>
              </w:rPr>
            </w:pPr>
          </w:p>
        </w:tc>
        <w:tc>
          <w:tcPr>
            <w:tcW w:w="4578" w:type="dxa"/>
            <w:vAlign w:val="center"/>
          </w:tcPr>
          <w:p>
            <w:pPr>
              <w:snapToGrid w:val="0"/>
              <w:rPr>
                <w:rFonts w:ascii="宋体" w:hAnsi="宋体"/>
                <w:szCs w:val="21"/>
              </w:rPr>
            </w:pPr>
          </w:p>
        </w:tc>
        <w:tc>
          <w:tcPr>
            <w:tcW w:w="1800" w:type="dxa"/>
          </w:tcPr>
          <w:p>
            <w:pPr>
              <w:snapToGrid w:val="0"/>
              <w:rPr>
                <w:rFonts w:ascii="宋体" w:hAnsi="宋体"/>
                <w:szCs w:val="21"/>
              </w:rPr>
            </w:pPr>
          </w:p>
        </w:tc>
        <w:tc>
          <w:tcPr>
            <w:tcW w:w="1817"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1" w:type="dxa"/>
            <w:vAlign w:val="center"/>
          </w:tcPr>
          <w:p>
            <w:pPr>
              <w:snapToGrid w:val="0"/>
              <w:jc w:val="center"/>
              <w:rPr>
                <w:rFonts w:ascii="宋体" w:hAnsi="宋体"/>
                <w:szCs w:val="21"/>
              </w:rPr>
            </w:pPr>
          </w:p>
        </w:tc>
        <w:tc>
          <w:tcPr>
            <w:tcW w:w="4578" w:type="dxa"/>
            <w:vAlign w:val="center"/>
          </w:tcPr>
          <w:p>
            <w:pPr>
              <w:snapToGrid w:val="0"/>
              <w:rPr>
                <w:rFonts w:ascii="宋体" w:hAnsi="宋体"/>
                <w:szCs w:val="21"/>
              </w:rPr>
            </w:pPr>
          </w:p>
        </w:tc>
        <w:tc>
          <w:tcPr>
            <w:tcW w:w="1800" w:type="dxa"/>
          </w:tcPr>
          <w:p>
            <w:pPr>
              <w:snapToGrid w:val="0"/>
              <w:rPr>
                <w:rFonts w:ascii="宋体" w:hAnsi="宋体"/>
                <w:szCs w:val="21"/>
              </w:rPr>
            </w:pPr>
          </w:p>
        </w:tc>
        <w:tc>
          <w:tcPr>
            <w:tcW w:w="1817"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1" w:type="dxa"/>
            <w:vAlign w:val="center"/>
          </w:tcPr>
          <w:p>
            <w:pPr>
              <w:snapToGrid w:val="0"/>
              <w:jc w:val="center"/>
              <w:rPr>
                <w:rFonts w:ascii="宋体" w:hAnsi="宋体"/>
                <w:szCs w:val="21"/>
              </w:rPr>
            </w:pPr>
          </w:p>
        </w:tc>
        <w:tc>
          <w:tcPr>
            <w:tcW w:w="4578" w:type="dxa"/>
            <w:vAlign w:val="center"/>
          </w:tcPr>
          <w:p>
            <w:pPr>
              <w:snapToGrid w:val="0"/>
              <w:rPr>
                <w:rFonts w:ascii="宋体" w:hAnsi="宋体"/>
                <w:szCs w:val="21"/>
              </w:rPr>
            </w:pPr>
          </w:p>
        </w:tc>
        <w:tc>
          <w:tcPr>
            <w:tcW w:w="1800" w:type="dxa"/>
          </w:tcPr>
          <w:p>
            <w:pPr>
              <w:snapToGrid w:val="0"/>
              <w:rPr>
                <w:rFonts w:ascii="宋体" w:hAnsi="宋体"/>
                <w:szCs w:val="21"/>
              </w:rPr>
            </w:pPr>
          </w:p>
        </w:tc>
        <w:tc>
          <w:tcPr>
            <w:tcW w:w="1817"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1" w:type="dxa"/>
          </w:tcPr>
          <w:p>
            <w:pPr>
              <w:snapToGrid w:val="0"/>
              <w:rPr>
                <w:rFonts w:ascii="宋体" w:hAnsi="宋体"/>
                <w:szCs w:val="21"/>
              </w:rPr>
            </w:pPr>
          </w:p>
        </w:tc>
        <w:tc>
          <w:tcPr>
            <w:tcW w:w="4578" w:type="dxa"/>
          </w:tcPr>
          <w:p>
            <w:pPr>
              <w:snapToGrid w:val="0"/>
              <w:rPr>
                <w:rFonts w:ascii="宋体" w:hAnsi="宋体"/>
                <w:szCs w:val="21"/>
              </w:rPr>
            </w:pPr>
          </w:p>
        </w:tc>
        <w:tc>
          <w:tcPr>
            <w:tcW w:w="1800" w:type="dxa"/>
          </w:tcPr>
          <w:p>
            <w:pPr>
              <w:snapToGrid w:val="0"/>
              <w:rPr>
                <w:rFonts w:ascii="宋体" w:hAnsi="宋体"/>
                <w:szCs w:val="21"/>
              </w:rPr>
            </w:pPr>
          </w:p>
        </w:tc>
        <w:tc>
          <w:tcPr>
            <w:tcW w:w="1817" w:type="dxa"/>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329" w:type="dxa"/>
            <w:gridSpan w:val="2"/>
            <w:vAlign w:val="center"/>
          </w:tcPr>
          <w:p>
            <w:pPr>
              <w:snapToGrid w:val="0"/>
              <w:jc w:val="center"/>
              <w:rPr>
                <w:rFonts w:ascii="宋体" w:hAnsi="宋体"/>
                <w:szCs w:val="21"/>
              </w:rPr>
            </w:pPr>
            <w:r>
              <w:rPr>
                <w:rFonts w:hint="eastAsia" w:ascii="宋体" w:hAnsi="宋体"/>
                <w:szCs w:val="21"/>
              </w:rPr>
              <w:t>合计（即“竞投总价” ）</w:t>
            </w:r>
          </w:p>
        </w:tc>
        <w:tc>
          <w:tcPr>
            <w:tcW w:w="1800" w:type="dxa"/>
          </w:tcPr>
          <w:p>
            <w:pPr>
              <w:snapToGrid w:val="0"/>
              <w:rPr>
                <w:rFonts w:ascii="宋体" w:hAnsi="宋体"/>
                <w:szCs w:val="21"/>
              </w:rPr>
            </w:pPr>
          </w:p>
        </w:tc>
        <w:tc>
          <w:tcPr>
            <w:tcW w:w="1817" w:type="dxa"/>
          </w:tcPr>
          <w:p>
            <w:pPr>
              <w:snapToGrid w:val="0"/>
              <w:rPr>
                <w:rFonts w:ascii="宋体" w:hAnsi="宋体"/>
                <w:szCs w:val="21"/>
              </w:rPr>
            </w:pPr>
          </w:p>
        </w:tc>
      </w:tr>
    </w:tbl>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ind w:left="1260" w:leftChars="600" w:firstLine="2125" w:firstLineChars="1012"/>
        <w:rPr>
          <w:rFonts w:ascii="宋体" w:hAnsi="宋体"/>
          <w:szCs w:val="21"/>
        </w:rPr>
      </w:pPr>
      <w:r>
        <w:rPr>
          <w:rFonts w:hint="eastAsia" w:ascii="宋体" w:hAnsi="宋体"/>
          <w:szCs w:val="21"/>
        </w:rPr>
        <w:t xml:space="preserve">竞投单位：（加盖公章）                  </w:t>
      </w:r>
    </w:p>
    <w:p>
      <w:pPr>
        <w:snapToGrid w:val="0"/>
        <w:spacing w:line="360" w:lineRule="auto"/>
        <w:ind w:left="1260" w:leftChars="600" w:firstLine="2125" w:firstLineChars="1012"/>
        <w:rPr>
          <w:rFonts w:ascii="宋体" w:hAnsi="宋体"/>
          <w:szCs w:val="21"/>
        </w:rPr>
      </w:pPr>
    </w:p>
    <w:p>
      <w:pPr>
        <w:snapToGrid w:val="0"/>
        <w:spacing w:line="360" w:lineRule="auto"/>
        <w:ind w:left="1260" w:leftChars="600" w:firstLine="2125" w:firstLineChars="1012"/>
        <w:rPr>
          <w:rFonts w:ascii="宋体" w:hAnsi="宋体"/>
          <w:szCs w:val="21"/>
        </w:rPr>
      </w:pPr>
      <w:r>
        <w:rPr>
          <w:rFonts w:hint="eastAsia" w:ascii="宋体" w:hAnsi="宋体"/>
          <w:szCs w:val="21"/>
        </w:rPr>
        <w:t>法定代表人（或委托代理人）签名：</w:t>
      </w:r>
    </w:p>
    <w:p>
      <w:pPr>
        <w:snapToGrid w:val="0"/>
        <w:spacing w:line="360" w:lineRule="auto"/>
        <w:ind w:left="1260" w:leftChars="600" w:firstLine="2125" w:firstLineChars="1012"/>
        <w:rPr>
          <w:rFonts w:ascii="宋体" w:hAnsi="宋体"/>
          <w:szCs w:val="21"/>
        </w:rPr>
      </w:pPr>
    </w:p>
    <w:p>
      <w:pPr>
        <w:snapToGrid w:val="0"/>
        <w:spacing w:line="360" w:lineRule="auto"/>
        <w:ind w:left="1260" w:leftChars="600" w:firstLine="2125" w:firstLineChars="1012"/>
        <w:rPr>
          <w:rFonts w:ascii="宋体" w:hAnsi="宋体"/>
          <w:szCs w:val="21"/>
        </w:rPr>
      </w:pPr>
      <w:r>
        <w:rPr>
          <w:rFonts w:hint="eastAsia" w:ascii="宋体" w:hAnsi="宋体"/>
          <w:szCs w:val="21"/>
        </w:rPr>
        <w:t>日    期：</w:t>
      </w:r>
    </w:p>
    <w:p>
      <w:pPr>
        <w:snapToGrid w:val="0"/>
        <w:spacing w:line="360" w:lineRule="auto"/>
        <w:rPr>
          <w:rFonts w:ascii="宋体" w:hAnsi="宋体"/>
          <w:sz w:val="24"/>
        </w:rPr>
      </w:pPr>
    </w:p>
    <w:p>
      <w:pPr>
        <w:sectPr>
          <w:pgSz w:w="11906" w:h="16838"/>
          <w:pgMar w:top="1701" w:right="1418" w:bottom="1418" w:left="1418" w:header="851" w:footer="992" w:gutter="0"/>
          <w:cols w:space="720" w:num="1"/>
          <w:docGrid w:linePitch="312" w:charSpace="0"/>
        </w:sectPr>
      </w:pPr>
    </w:p>
    <w:p>
      <w:pPr>
        <w:jc w:val="center"/>
        <w:rPr>
          <w:b/>
        </w:rPr>
      </w:pPr>
      <w:r>
        <w:rPr>
          <w:rFonts w:hint="eastAsia" w:ascii="宋体" w:hAnsi="宋体"/>
          <w:b/>
          <w:bCs/>
          <w:sz w:val="24"/>
          <w:szCs w:val="21"/>
        </w:rPr>
        <w:t>二、已标价工程量清单</w:t>
      </w:r>
    </w:p>
    <w:p/>
    <w:p/>
    <w:p/>
    <w:p/>
    <w:p/>
    <w:p/>
    <w:p/>
    <w:p/>
    <w:p/>
    <w:p/>
    <w:p/>
    <w:p/>
    <w:p/>
    <w:p/>
    <w:p/>
    <w:p/>
    <w:p/>
    <w:p/>
    <w:p/>
    <w:p/>
    <w:p/>
    <w:p/>
    <w:p/>
    <w:p/>
    <w:p/>
    <w:p/>
    <w:p/>
    <w:p/>
    <w:p/>
    <w:p/>
    <w:p/>
    <w:p/>
    <w:p/>
    <w:p/>
    <w:p/>
    <w:p/>
    <w:p/>
    <w:p/>
    <w:p/>
    <w:p/>
    <w:p/>
    <w:p/>
    <w:p/>
    <w:p/>
    <w:p/>
    <w:p>
      <w:pPr>
        <w:jc w:val="center"/>
        <w:rPr>
          <w:b/>
        </w:rPr>
      </w:pPr>
      <w:r>
        <w:rPr>
          <w:rFonts w:hint="eastAsia" w:ascii="宋体" w:hAnsi="宋体"/>
          <w:b/>
          <w:bCs/>
          <w:sz w:val="24"/>
          <w:szCs w:val="21"/>
        </w:rPr>
        <w:t>三、其他</w:t>
      </w:r>
    </w:p>
    <w:p/>
    <w:p/>
    <w:p/>
    <w:p/>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400" w:lineRule="exact"/>
        <w:rPr>
          <w:kern w:val="0"/>
        </w:rPr>
      </w:pPr>
    </w:p>
    <w:p>
      <w:pPr>
        <w:spacing w:line="360" w:lineRule="auto"/>
        <w:jc w:val="center"/>
        <w:rPr>
          <w:b/>
          <w:bCs/>
          <w:color w:val="000000"/>
          <w:sz w:val="36"/>
          <w:szCs w:val="36"/>
        </w:rPr>
      </w:pPr>
      <w:r>
        <w:rPr>
          <w:rFonts w:hint="eastAsia"/>
          <w:b/>
          <w:bCs/>
          <w:color w:val="000000"/>
          <w:sz w:val="36"/>
          <w:szCs w:val="36"/>
        </w:rPr>
        <w:t>项目</w:t>
      </w:r>
      <w:r>
        <w:rPr>
          <w:b/>
          <w:bCs/>
          <w:color w:val="000000"/>
          <w:sz w:val="36"/>
          <w:szCs w:val="36"/>
        </w:rPr>
        <w:t>材料</w:t>
      </w:r>
      <w:r>
        <w:rPr>
          <w:rFonts w:hint="eastAsia"/>
          <w:b/>
          <w:bCs/>
          <w:color w:val="000000"/>
          <w:sz w:val="36"/>
          <w:szCs w:val="36"/>
        </w:rPr>
        <w:t>附属说明</w:t>
      </w:r>
    </w:p>
    <w:p>
      <w:pPr>
        <w:numPr>
          <w:ilvl w:val="0"/>
          <w:numId w:val="4"/>
        </w:numPr>
        <w:spacing w:line="360" w:lineRule="auto"/>
        <w:rPr>
          <w:rFonts w:ascii="宋体" w:hAnsi="宋体" w:eastAsia="宋体" w:cs="宋体"/>
          <w:b/>
          <w:kern w:val="0"/>
          <w:sz w:val="24"/>
        </w:rPr>
      </w:pPr>
      <w:r>
        <w:rPr>
          <w:rFonts w:hint="eastAsia" w:ascii="宋体" w:hAnsi="宋体" w:eastAsia="宋体" w:cs="宋体"/>
          <w:b/>
          <w:kern w:val="0"/>
          <w:sz w:val="24"/>
        </w:rPr>
        <w:t xml:space="preserve"> 相关材料说明：</w:t>
      </w:r>
    </w:p>
    <w:p>
      <w:pPr>
        <w:numPr>
          <w:ilvl w:val="0"/>
          <w:numId w:val="5"/>
        </w:numPr>
        <w:spacing w:line="360" w:lineRule="auto"/>
      </w:pPr>
      <w:r>
        <w:rPr>
          <w:rFonts w:hint="eastAsia" w:ascii="宋体" w:hAnsi="宋体" w:eastAsia="宋体" w:cs="宋体"/>
          <w:b/>
          <w:kern w:val="0"/>
          <w:sz w:val="24"/>
        </w:rPr>
        <w:t>纸包装水泥建议使用</w:t>
      </w:r>
      <w:r>
        <w:rPr>
          <w:rFonts w:hint="eastAsia" w:ascii="宋体" w:hAnsi="宋体" w:eastAsia="宋体" w:cs="宋体"/>
          <w:kern w:val="0"/>
          <w:sz w:val="24"/>
        </w:rPr>
        <w:t>：</w:t>
      </w:r>
      <w:r>
        <w:rPr>
          <w:rFonts w:hint="eastAsia" w:ascii="宋体" w:hAnsi="宋体" w:eastAsia="宋体" w:cs="宋体"/>
          <w:sz w:val="24"/>
        </w:rPr>
        <w:t>装饰粉刷、地面抹灰及砌筑等可使用符合国家质量验收标准并且要有出厂合格证的“铁城”牌、“海螺”牌、“云英”牌或同等级以上的产品，对该工程所使用的水泥必须符合国家质量验收标准水泥（水泥标号32.5R）。</w:t>
      </w:r>
    </w:p>
    <w:p>
      <w:pPr>
        <w:numPr>
          <w:ilvl w:val="0"/>
          <w:numId w:val="5"/>
        </w:numPr>
        <w:spacing w:line="360" w:lineRule="auto"/>
      </w:pPr>
      <w:r>
        <w:rPr>
          <w:rFonts w:hint="eastAsia" w:ascii="宋体" w:hAnsi="宋体" w:eastAsia="宋体" w:cs="宋体"/>
          <w:b/>
          <w:bCs/>
          <w:kern w:val="0"/>
          <w:sz w:val="24"/>
        </w:rPr>
        <w:t>钢筋</w:t>
      </w:r>
      <w:r>
        <w:rPr>
          <w:rFonts w:hint="eastAsia" w:ascii="宋体" w:hAnsi="宋体" w:eastAsia="宋体" w:cs="宋体"/>
          <w:kern w:val="0"/>
          <w:sz w:val="24"/>
        </w:rPr>
        <w:t>：建议</w:t>
      </w:r>
      <w:r>
        <w:rPr>
          <w:rFonts w:hint="eastAsia" w:ascii="宋体" w:hAnsi="宋体" w:eastAsia="宋体" w:cs="宋体"/>
          <w:sz w:val="24"/>
        </w:rPr>
        <w:t>使用符合国标合格的“广钢”、“首钢”、“韶钢”或同等级以上的产品。</w:t>
      </w:r>
    </w:p>
    <w:p>
      <w:pPr>
        <w:numPr>
          <w:ilvl w:val="0"/>
          <w:numId w:val="5"/>
        </w:numPr>
        <w:spacing w:line="360" w:lineRule="auto"/>
      </w:pPr>
      <w:r>
        <w:rPr>
          <w:rFonts w:hint="eastAsia" w:ascii="宋体" w:hAnsi="宋体" w:eastAsia="宋体" w:cs="宋体"/>
          <w:b/>
          <w:bCs/>
          <w:sz w:val="24"/>
        </w:rPr>
        <w:t>商品砼</w:t>
      </w:r>
      <w:r>
        <w:rPr>
          <w:rFonts w:hint="eastAsia" w:ascii="宋体" w:hAnsi="宋体" w:eastAsia="宋体" w:cs="宋体"/>
          <w:sz w:val="24"/>
        </w:rPr>
        <w:t>：本工程所需混凝土均建议使用中山“建华”牌、中山“润田”牌或中山“金田”牌商品混凝土或同等级以上的产品。</w:t>
      </w:r>
    </w:p>
    <w:p>
      <w:pPr>
        <w:numPr>
          <w:ilvl w:val="0"/>
          <w:numId w:val="5"/>
        </w:numPr>
        <w:spacing w:line="360" w:lineRule="auto"/>
      </w:pPr>
      <w:r>
        <w:rPr>
          <w:rFonts w:hint="eastAsia" w:ascii="宋体" w:hAnsi="宋体" w:eastAsia="宋体" w:cs="宋体"/>
          <w:b/>
          <w:bCs/>
          <w:kern w:val="0"/>
          <w:sz w:val="24"/>
        </w:rPr>
        <w:t>砖</w:t>
      </w:r>
      <w:r>
        <w:rPr>
          <w:rFonts w:hint="eastAsia" w:ascii="宋体" w:hAnsi="宋体" w:eastAsia="宋体" w:cs="宋体"/>
          <w:kern w:val="0"/>
          <w:sz w:val="24"/>
        </w:rPr>
        <w:t>：使用合格烧结页岩空心砖（根据国家及各级相关规定）。</w:t>
      </w:r>
    </w:p>
    <w:p>
      <w:pPr>
        <w:numPr>
          <w:ilvl w:val="0"/>
          <w:numId w:val="5"/>
        </w:numPr>
        <w:spacing w:line="360" w:lineRule="auto"/>
      </w:pPr>
      <w:r>
        <w:rPr>
          <w:rFonts w:hint="eastAsia" w:ascii="宋体" w:hAnsi="宋体" w:eastAsia="宋体" w:cs="宋体"/>
          <w:b/>
          <w:bCs/>
          <w:kern w:val="0"/>
          <w:sz w:val="24"/>
        </w:rPr>
        <w:t>面砖</w:t>
      </w:r>
      <w:r>
        <w:rPr>
          <w:rFonts w:hint="eastAsia" w:ascii="宋体" w:hAnsi="宋体" w:eastAsia="宋体" w:cs="宋体"/>
          <w:kern w:val="0"/>
          <w:sz w:val="24"/>
        </w:rPr>
        <w:t>：建议使用佛山产的</w:t>
      </w:r>
      <w:r>
        <w:rPr>
          <w:rFonts w:hint="eastAsia" w:ascii="宋体" w:hAnsi="宋体" w:eastAsia="宋体" w:cs="宋体"/>
          <w:b/>
          <w:kern w:val="0"/>
          <w:sz w:val="24"/>
        </w:rPr>
        <w:t>“龙驹”、“恒球”、“白兔”、“甘美”、“溶洲”</w:t>
      </w:r>
      <w:r>
        <w:rPr>
          <w:rFonts w:hint="eastAsia" w:ascii="宋体" w:hAnsi="宋体" w:eastAsia="宋体" w:cs="宋体"/>
          <w:kern w:val="0"/>
          <w:sz w:val="24"/>
        </w:rPr>
        <w:t>牌或同等级以上的优等品瓷质砖。</w:t>
      </w:r>
    </w:p>
    <w:p>
      <w:pPr>
        <w:numPr>
          <w:ilvl w:val="0"/>
          <w:numId w:val="5"/>
        </w:numPr>
        <w:spacing w:line="360" w:lineRule="auto"/>
      </w:pPr>
      <w:r>
        <w:rPr>
          <w:rFonts w:hint="eastAsia" w:ascii="宋体" w:hAnsi="宋体" w:eastAsia="宋体" w:cs="宋体"/>
          <w:b/>
          <w:bCs/>
          <w:kern w:val="0"/>
          <w:sz w:val="24"/>
        </w:rPr>
        <w:t>墙砖</w:t>
      </w:r>
      <w:r>
        <w:rPr>
          <w:rFonts w:hint="eastAsia" w:ascii="宋体" w:hAnsi="宋体" w:eastAsia="宋体" w:cs="宋体"/>
          <w:kern w:val="0"/>
          <w:sz w:val="24"/>
        </w:rPr>
        <w:t>：建议使用佛山产的</w:t>
      </w:r>
      <w:r>
        <w:rPr>
          <w:rFonts w:hint="eastAsia" w:ascii="宋体" w:hAnsi="宋体" w:eastAsia="宋体" w:cs="宋体"/>
          <w:b/>
          <w:kern w:val="0"/>
          <w:sz w:val="24"/>
        </w:rPr>
        <w:t>“龙驹”、“恒球”、“白兔”、“甘美”、“溶洲”</w:t>
      </w:r>
      <w:r>
        <w:rPr>
          <w:rFonts w:hint="eastAsia" w:ascii="宋体" w:hAnsi="宋体" w:eastAsia="宋体" w:cs="宋体"/>
          <w:kern w:val="0"/>
          <w:sz w:val="24"/>
        </w:rPr>
        <w:t>牌或同等级以上的优等品瓷质砖。</w:t>
      </w:r>
    </w:p>
    <w:p>
      <w:pPr>
        <w:numPr>
          <w:ilvl w:val="0"/>
          <w:numId w:val="5"/>
        </w:numPr>
        <w:spacing w:line="360" w:lineRule="auto"/>
      </w:pPr>
      <w:r>
        <w:rPr>
          <w:rFonts w:hint="eastAsia"/>
          <w:b/>
          <w:bCs/>
          <w:sz w:val="24"/>
        </w:rPr>
        <w:t>桩基础：</w:t>
      </w:r>
      <w:r>
        <w:rPr>
          <w:rFonts w:hint="eastAsia"/>
          <w:sz w:val="24"/>
        </w:rPr>
        <w:t>桩基础按实际入土深度结算，送桩、高出地面的不予计算，桩检测费用均由中选单位负责。若检测到不合格桩，需要补桩及重新检测的，一切费用由中选单位负责。</w:t>
      </w:r>
    </w:p>
    <w:p>
      <w:pPr>
        <w:numPr>
          <w:ilvl w:val="0"/>
          <w:numId w:val="5"/>
        </w:numPr>
        <w:spacing w:line="360" w:lineRule="auto"/>
        <w:rPr>
          <w:rFonts w:ascii="宋体" w:hAnsi="宋体" w:eastAsia="宋体" w:cs="宋体"/>
          <w:kern w:val="0"/>
          <w:sz w:val="24"/>
        </w:rPr>
      </w:pPr>
      <w:r>
        <w:rPr>
          <w:rFonts w:hint="eastAsia" w:ascii="宋体" w:hAnsi="宋体" w:eastAsia="宋体" w:cs="宋体"/>
          <w:b/>
          <w:kern w:val="0"/>
          <w:sz w:val="24"/>
        </w:rPr>
        <w:t>防雷工程：</w:t>
      </w:r>
    </w:p>
    <w:p>
      <w:pPr>
        <w:numPr>
          <w:ilvl w:val="0"/>
          <w:numId w:val="6"/>
        </w:numPr>
        <w:spacing w:line="360" w:lineRule="auto"/>
        <w:rPr>
          <w:sz w:val="24"/>
        </w:rPr>
      </w:pPr>
      <w:r>
        <w:rPr>
          <w:rFonts w:hint="eastAsia" w:ascii="宋体" w:hAnsi="宋体" w:eastAsia="宋体" w:cs="宋体"/>
          <w:kern w:val="0"/>
          <w:sz w:val="24"/>
        </w:rPr>
        <w:t>本工程土建总包合同签订后，中选单位按照审定后的施工图进场施工，根据工程土建进度中选单位自行协调防雷工程施工程序同土建同时完成。</w:t>
      </w:r>
    </w:p>
    <w:p>
      <w:pPr>
        <w:numPr>
          <w:ilvl w:val="0"/>
          <w:numId w:val="6"/>
        </w:numPr>
        <w:spacing w:line="360" w:lineRule="auto"/>
        <w:rPr>
          <w:sz w:val="24"/>
        </w:rPr>
      </w:pPr>
      <w:r>
        <w:rPr>
          <w:rFonts w:hint="eastAsia" w:ascii="宋体" w:hAnsi="宋体" w:eastAsia="宋体" w:cs="宋体"/>
          <w:kern w:val="0"/>
          <w:sz w:val="24"/>
        </w:rPr>
        <w:t>工程质量标准按国家现行建筑物防雷设计规范施工和验收。</w:t>
      </w:r>
    </w:p>
    <w:p>
      <w:pPr>
        <w:numPr>
          <w:ilvl w:val="0"/>
          <w:numId w:val="6"/>
        </w:numPr>
        <w:spacing w:line="360" w:lineRule="auto"/>
        <w:rPr>
          <w:sz w:val="24"/>
        </w:rPr>
      </w:pPr>
      <w:r>
        <w:rPr>
          <w:rFonts w:hint="eastAsia" w:ascii="宋体" w:hAnsi="宋体" w:eastAsia="宋体" w:cs="宋体"/>
          <w:kern w:val="0"/>
          <w:sz w:val="24"/>
        </w:rPr>
        <w:t>工程保修参照建设部有关规定执行，中选单位对安装工程提供一年内的免费维修保养，保修期自竣工验收签字之日起计。</w:t>
      </w:r>
    </w:p>
    <w:p>
      <w:pPr>
        <w:numPr>
          <w:ilvl w:val="0"/>
          <w:numId w:val="5"/>
        </w:numPr>
        <w:spacing w:line="360" w:lineRule="auto"/>
        <w:rPr>
          <w:rFonts w:ascii="宋体" w:hAnsi="宋体"/>
          <w:sz w:val="24"/>
        </w:rPr>
      </w:pPr>
      <w:r>
        <w:rPr>
          <w:rFonts w:hint="eastAsia" w:ascii="宋体" w:hAnsi="宋体"/>
          <w:b/>
          <w:sz w:val="24"/>
        </w:rPr>
        <w:t>屋面防水层材料：</w:t>
      </w:r>
      <w:r>
        <w:rPr>
          <w:rFonts w:hint="eastAsia" w:ascii="宋体" w:hAnsi="宋体"/>
          <w:sz w:val="24"/>
        </w:rPr>
        <w:t>采用符合国家规范要求的柔性防水卷材。</w:t>
      </w:r>
    </w:p>
    <w:p>
      <w:pPr>
        <w:numPr>
          <w:ilvl w:val="0"/>
          <w:numId w:val="5"/>
        </w:numPr>
        <w:spacing w:line="360" w:lineRule="auto"/>
        <w:rPr>
          <w:rFonts w:ascii="宋体" w:hAnsi="宋体"/>
          <w:kern w:val="0"/>
          <w:sz w:val="24"/>
        </w:rPr>
      </w:pPr>
      <w:r>
        <w:rPr>
          <w:rFonts w:hint="eastAsia" w:ascii="宋体" w:hAnsi="宋体"/>
          <w:b/>
          <w:bCs/>
          <w:sz w:val="24"/>
        </w:rPr>
        <w:t>屋面隔热层材料：</w:t>
      </w:r>
      <w:r>
        <w:rPr>
          <w:rFonts w:hint="eastAsia" w:ascii="宋体" w:hAnsi="宋体"/>
          <w:bCs/>
          <w:sz w:val="24"/>
        </w:rPr>
        <w:t>采用符合国家规范要求的隔热砖</w:t>
      </w:r>
      <w:r>
        <w:rPr>
          <w:rFonts w:hint="eastAsia" w:ascii="宋体" w:hAnsi="宋体"/>
          <w:sz w:val="24"/>
        </w:rPr>
        <w:t>。</w:t>
      </w:r>
    </w:p>
    <w:p>
      <w:pPr>
        <w:numPr>
          <w:ilvl w:val="0"/>
          <w:numId w:val="5"/>
        </w:numPr>
        <w:spacing w:line="360" w:lineRule="auto"/>
        <w:rPr>
          <w:rFonts w:ascii="宋体" w:hAnsi="宋体"/>
          <w:kern w:val="0"/>
          <w:sz w:val="24"/>
        </w:rPr>
      </w:pPr>
      <w:r>
        <w:rPr>
          <w:rFonts w:hint="eastAsia" w:ascii="宋体" w:hAnsi="宋体"/>
          <w:b/>
          <w:bCs/>
          <w:sz w:val="24"/>
        </w:rPr>
        <w:t>电梯</w:t>
      </w:r>
      <w:r>
        <w:rPr>
          <w:rFonts w:hint="eastAsia" w:ascii="宋体" w:hAnsi="宋体"/>
          <w:sz w:val="24"/>
        </w:rPr>
        <w:t>：本项目电梯为智能节电电梯。</w:t>
      </w:r>
    </w:p>
    <w:p>
      <w:pPr>
        <w:numPr>
          <w:ilvl w:val="0"/>
          <w:numId w:val="5"/>
        </w:numPr>
        <w:spacing w:line="360" w:lineRule="auto"/>
        <w:rPr>
          <w:rFonts w:ascii="宋体" w:hAnsi="宋体"/>
          <w:kern w:val="0"/>
          <w:sz w:val="24"/>
        </w:rPr>
      </w:pPr>
      <w:r>
        <w:rPr>
          <w:rFonts w:hint="eastAsia" w:ascii="宋体" w:hAnsi="宋体"/>
          <w:b/>
          <w:bCs/>
          <w:sz w:val="24"/>
        </w:rPr>
        <w:t>栏杆</w:t>
      </w:r>
      <w:r>
        <w:rPr>
          <w:rFonts w:hint="eastAsia" w:ascii="宋体" w:hAnsi="宋体"/>
          <w:sz w:val="24"/>
        </w:rPr>
        <w:t>：</w:t>
      </w:r>
    </w:p>
    <w:p>
      <w:pPr>
        <w:numPr>
          <w:ilvl w:val="0"/>
          <w:numId w:val="5"/>
        </w:numPr>
        <w:spacing w:line="360" w:lineRule="auto"/>
        <w:rPr>
          <w:rFonts w:ascii="宋体" w:hAnsi="宋体"/>
          <w:kern w:val="0"/>
          <w:sz w:val="24"/>
        </w:rPr>
      </w:pPr>
      <w:r>
        <w:rPr>
          <w:rFonts w:hint="eastAsia" w:ascii="宋体" w:hAnsi="宋体"/>
          <w:b/>
          <w:sz w:val="24"/>
          <w:u w:val="single"/>
        </w:rPr>
        <w:t>消防箱及消防器材</w:t>
      </w:r>
      <w:r>
        <w:rPr>
          <w:rFonts w:hint="eastAsia" w:ascii="宋体" w:hAnsi="宋体"/>
          <w:sz w:val="24"/>
        </w:rPr>
        <w:t>：消防箱建议使用符合国家质量验收标准并且要有出厂合格证广州“粤海”牌、佛山“平安”牌或中山“新海”牌。</w:t>
      </w:r>
    </w:p>
    <w:p>
      <w:pPr>
        <w:numPr>
          <w:ilvl w:val="0"/>
          <w:numId w:val="5"/>
        </w:numPr>
        <w:spacing w:line="360" w:lineRule="auto"/>
        <w:rPr>
          <w:rFonts w:ascii="宋体" w:hAnsi="宋体"/>
          <w:kern w:val="0"/>
          <w:sz w:val="24"/>
        </w:rPr>
      </w:pPr>
      <w:r>
        <w:rPr>
          <w:rFonts w:hint="eastAsia" w:ascii="宋体" w:hAnsi="宋体"/>
          <w:b/>
          <w:sz w:val="24"/>
          <w:u w:val="single"/>
        </w:rPr>
        <w:t>消防给水管</w:t>
      </w:r>
      <w:r>
        <w:rPr>
          <w:rFonts w:hint="eastAsia" w:ascii="宋体" w:hAnsi="宋体"/>
          <w:sz w:val="24"/>
        </w:rPr>
        <w:t>：镀锌钢管建议使用符合国家质量验收标准并且要有出厂合格证</w:t>
      </w:r>
      <w:r>
        <w:rPr>
          <w:rFonts w:hint="eastAsia" w:ascii="宋体" w:hAnsi="宋体"/>
          <w:sz w:val="24"/>
          <w:u w:val="single"/>
        </w:rPr>
        <w:t>广州“华星”牌或“华岐”牌或同等级以上的产品</w:t>
      </w:r>
      <w:r>
        <w:rPr>
          <w:rFonts w:hint="eastAsia" w:ascii="宋体" w:hAnsi="宋体"/>
          <w:sz w:val="24"/>
        </w:rPr>
        <w:t>，厚度不少于3.7mm，管与管建议使用丝接并做好防锈处理；阀门用宁波“埃美柯”牌或“塘沽”牌。</w:t>
      </w:r>
    </w:p>
    <w:p>
      <w:pPr>
        <w:numPr>
          <w:ilvl w:val="0"/>
          <w:numId w:val="5"/>
        </w:numPr>
        <w:spacing w:line="360" w:lineRule="auto"/>
        <w:rPr>
          <w:rFonts w:ascii="宋体" w:hAnsi="宋体"/>
          <w:kern w:val="0"/>
          <w:sz w:val="24"/>
        </w:rPr>
      </w:pPr>
      <w:r>
        <w:rPr>
          <w:rFonts w:hint="eastAsia"/>
          <w:b/>
          <w:bCs/>
          <w:sz w:val="24"/>
        </w:rPr>
        <w:t>门窗：</w:t>
      </w:r>
      <w:r>
        <w:rPr>
          <w:rFonts w:hint="eastAsia"/>
          <w:sz w:val="24"/>
        </w:rPr>
        <w:t>建议采用“坚美”、“凤铝”、“伟昌”牌或同等级以上合格产品。</w:t>
      </w:r>
    </w:p>
    <w:p>
      <w:pPr>
        <w:numPr>
          <w:ilvl w:val="0"/>
          <w:numId w:val="5"/>
        </w:numPr>
        <w:spacing w:line="360" w:lineRule="auto"/>
        <w:rPr>
          <w:rFonts w:ascii="宋体" w:hAnsi="宋体"/>
          <w:kern w:val="0"/>
          <w:sz w:val="24"/>
        </w:rPr>
      </w:pPr>
      <w:r>
        <w:rPr>
          <w:rFonts w:hint="eastAsia" w:ascii="宋体" w:hAnsi="宋体"/>
          <w:b/>
          <w:sz w:val="24"/>
        </w:rPr>
        <w:t>电气安装的建议使用：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4252"/>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291" w:type="dxa"/>
            <w:vAlign w:val="center"/>
          </w:tcPr>
          <w:p>
            <w:pPr>
              <w:spacing w:before="156" w:after="156" w:line="380" w:lineRule="exact"/>
              <w:jc w:val="center"/>
              <w:rPr>
                <w:rFonts w:ascii="宋体" w:hAnsi="宋体" w:cs="Arial"/>
                <w:szCs w:val="21"/>
              </w:rPr>
            </w:pPr>
            <w:r>
              <w:rPr>
                <w:rFonts w:hint="eastAsia" w:ascii="宋体" w:hAnsi="宋体" w:cs="Arial"/>
                <w:szCs w:val="21"/>
              </w:rPr>
              <w:t>材料名称</w:t>
            </w:r>
          </w:p>
        </w:tc>
        <w:tc>
          <w:tcPr>
            <w:tcW w:w="4252" w:type="dxa"/>
            <w:vAlign w:val="center"/>
          </w:tcPr>
          <w:p>
            <w:pPr>
              <w:spacing w:before="156" w:after="156" w:line="380" w:lineRule="exact"/>
              <w:jc w:val="center"/>
              <w:rPr>
                <w:rFonts w:ascii="宋体" w:hAnsi="宋体" w:cs="Arial"/>
                <w:szCs w:val="21"/>
              </w:rPr>
            </w:pPr>
            <w:r>
              <w:rPr>
                <w:rFonts w:hint="eastAsia" w:ascii="宋体" w:hAnsi="宋体" w:cs="Arial"/>
                <w:szCs w:val="21"/>
              </w:rPr>
              <w:t>牌子</w:t>
            </w:r>
          </w:p>
        </w:tc>
        <w:tc>
          <w:tcPr>
            <w:tcW w:w="2403" w:type="dxa"/>
            <w:vAlign w:val="center"/>
          </w:tcPr>
          <w:p>
            <w:pPr>
              <w:spacing w:before="156" w:after="156" w:line="380" w:lineRule="exact"/>
              <w:jc w:val="center"/>
              <w:rPr>
                <w:rFonts w:ascii="宋体" w:hAnsi="宋体" w:cs="Arial"/>
                <w:szCs w:val="21"/>
              </w:rPr>
            </w:pPr>
            <w:r>
              <w:rPr>
                <w:rFonts w:hint="eastAsia" w:ascii="宋体" w:hAnsi="宋体" w:cs="Arial"/>
                <w:szCs w:val="21"/>
              </w:rPr>
              <w:t>材料规格及系列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1" w:type="dxa"/>
            <w:vAlign w:val="center"/>
          </w:tcPr>
          <w:p>
            <w:pPr>
              <w:spacing w:before="156" w:after="156" w:line="380" w:lineRule="exact"/>
              <w:rPr>
                <w:rFonts w:ascii="宋体" w:hAnsi="宋体" w:cs="Arial"/>
                <w:szCs w:val="21"/>
              </w:rPr>
            </w:pPr>
            <w:r>
              <w:rPr>
                <w:rFonts w:hint="eastAsia" w:ascii="宋体" w:hAnsi="宋体" w:cs="Arial"/>
                <w:szCs w:val="21"/>
              </w:rPr>
              <w:t>电线电缆</w:t>
            </w:r>
          </w:p>
        </w:tc>
        <w:tc>
          <w:tcPr>
            <w:tcW w:w="4252" w:type="dxa"/>
            <w:vAlign w:val="center"/>
          </w:tcPr>
          <w:p>
            <w:pPr>
              <w:spacing w:before="156" w:after="156" w:line="380" w:lineRule="exact"/>
              <w:rPr>
                <w:rFonts w:ascii="宋体" w:hAnsi="宋体" w:cs="Arial"/>
                <w:szCs w:val="21"/>
              </w:rPr>
            </w:pPr>
            <w:r>
              <w:rPr>
                <w:rFonts w:hint="eastAsia" w:ascii="宋体" w:hAnsi="宋体" w:cs="Arial"/>
                <w:szCs w:val="21"/>
              </w:rPr>
              <w:t>“广东”电缆或“中山铁城”</w:t>
            </w:r>
          </w:p>
        </w:tc>
        <w:tc>
          <w:tcPr>
            <w:tcW w:w="2403" w:type="dxa"/>
            <w:vAlign w:val="center"/>
          </w:tcPr>
          <w:p>
            <w:pPr>
              <w:spacing w:before="156" w:after="156" w:line="380" w:lineRule="exact"/>
              <w:rPr>
                <w:rFonts w:ascii="宋体" w:hAnsi="宋体" w:cs="Arial"/>
                <w:szCs w:val="21"/>
              </w:rPr>
            </w:pPr>
            <w:r>
              <w:rPr>
                <w:rFonts w:hint="eastAsia" w:ascii="宋体" w:hAnsi="宋体" w:cs="Arial"/>
                <w:szCs w:val="21"/>
              </w:rPr>
              <w:t>详见设计图纸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1" w:type="dxa"/>
            <w:vAlign w:val="center"/>
          </w:tcPr>
          <w:p>
            <w:pPr>
              <w:spacing w:before="156" w:after="156" w:line="380" w:lineRule="exact"/>
              <w:rPr>
                <w:rFonts w:ascii="宋体" w:hAnsi="宋体" w:cs="Arial"/>
                <w:szCs w:val="21"/>
              </w:rPr>
            </w:pPr>
            <w:r>
              <w:rPr>
                <w:rFonts w:hint="eastAsia" w:ascii="宋体" w:hAnsi="宋体" w:cs="Arial"/>
                <w:szCs w:val="21"/>
              </w:rPr>
              <w:t>电线线槽</w:t>
            </w:r>
          </w:p>
        </w:tc>
        <w:tc>
          <w:tcPr>
            <w:tcW w:w="4252" w:type="dxa"/>
            <w:vAlign w:val="center"/>
          </w:tcPr>
          <w:p>
            <w:pPr>
              <w:spacing w:before="156" w:after="156" w:line="380" w:lineRule="exact"/>
              <w:rPr>
                <w:rFonts w:ascii="宋体" w:hAnsi="宋体" w:cs="Arial"/>
                <w:szCs w:val="21"/>
              </w:rPr>
            </w:pPr>
            <w:r>
              <w:rPr>
                <w:rFonts w:hint="eastAsia" w:ascii="宋体" w:hAnsi="宋体" w:cs="Arial"/>
                <w:szCs w:val="21"/>
              </w:rPr>
              <w:t>“雄塑”牌或“联塑”牌</w:t>
            </w:r>
          </w:p>
        </w:tc>
        <w:tc>
          <w:tcPr>
            <w:tcW w:w="2403" w:type="dxa"/>
            <w:vAlign w:val="center"/>
          </w:tcPr>
          <w:p>
            <w:pPr>
              <w:spacing w:before="156" w:after="156" w:line="380" w:lineRule="exact"/>
              <w:rPr>
                <w:rFonts w:ascii="宋体" w:hAnsi="宋体" w:cs="Arial"/>
                <w:szCs w:val="21"/>
              </w:rPr>
            </w:pPr>
            <w:r>
              <w:rPr>
                <w:rFonts w:hint="eastAsia" w:ascii="宋体" w:hAnsi="宋体" w:cs="Arial"/>
                <w:szCs w:val="21"/>
              </w:rPr>
              <w:t>详见设计图纸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1" w:type="dxa"/>
            <w:vAlign w:val="center"/>
          </w:tcPr>
          <w:p>
            <w:pPr>
              <w:spacing w:before="156" w:after="156" w:line="380" w:lineRule="exact"/>
              <w:rPr>
                <w:rFonts w:ascii="宋体" w:hAnsi="宋体" w:cs="Arial"/>
                <w:szCs w:val="21"/>
              </w:rPr>
            </w:pPr>
            <w:r>
              <w:rPr>
                <w:rFonts w:hint="eastAsia" w:ascii="宋体" w:hAnsi="宋体" w:cs="宋体"/>
                <w:kern w:val="0"/>
                <w:szCs w:val="21"/>
                <w:lang w:bidi="kn-IN"/>
              </w:rPr>
              <w:t>灯具</w:t>
            </w:r>
          </w:p>
        </w:tc>
        <w:tc>
          <w:tcPr>
            <w:tcW w:w="4252" w:type="dxa"/>
            <w:vAlign w:val="center"/>
          </w:tcPr>
          <w:p>
            <w:pPr>
              <w:spacing w:before="156" w:after="156" w:line="380" w:lineRule="exact"/>
              <w:rPr>
                <w:rFonts w:ascii="宋体" w:hAnsi="宋体" w:cs="Arial"/>
                <w:szCs w:val="21"/>
              </w:rPr>
            </w:pPr>
            <w:r>
              <w:rPr>
                <w:rFonts w:hint="eastAsia" w:ascii="宋体" w:hAnsi="宋体" w:cs="Arial"/>
                <w:szCs w:val="21"/>
              </w:rPr>
              <w:t>“三雄极光”牌、“卡尔”牌或“品上”牌</w:t>
            </w:r>
          </w:p>
        </w:tc>
        <w:tc>
          <w:tcPr>
            <w:tcW w:w="2403" w:type="dxa"/>
            <w:vAlign w:val="center"/>
          </w:tcPr>
          <w:p>
            <w:pPr>
              <w:spacing w:before="156" w:after="156" w:line="380" w:lineRule="exact"/>
              <w:rPr>
                <w:rFonts w:ascii="宋体" w:hAnsi="宋体" w:cs="Arial"/>
                <w:szCs w:val="21"/>
              </w:rPr>
            </w:pPr>
            <w:r>
              <w:rPr>
                <w:rFonts w:hint="eastAsia" w:ascii="宋体" w:hAnsi="宋体" w:cs="Arial"/>
                <w:szCs w:val="21"/>
              </w:rPr>
              <w:t>详见设计图纸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1" w:type="dxa"/>
            <w:vAlign w:val="center"/>
          </w:tcPr>
          <w:p>
            <w:pPr>
              <w:spacing w:before="156" w:after="156" w:line="380" w:lineRule="exact"/>
              <w:rPr>
                <w:rFonts w:ascii="宋体" w:hAnsi="宋体" w:cs="Arial"/>
                <w:szCs w:val="21"/>
              </w:rPr>
            </w:pPr>
            <w:r>
              <w:rPr>
                <w:rFonts w:hint="eastAsia" w:ascii="宋体" w:hAnsi="宋体" w:cs="Arial"/>
                <w:szCs w:val="21"/>
              </w:rPr>
              <w:t>开关及插座</w:t>
            </w:r>
          </w:p>
        </w:tc>
        <w:tc>
          <w:tcPr>
            <w:tcW w:w="4252" w:type="dxa"/>
            <w:vAlign w:val="center"/>
          </w:tcPr>
          <w:p>
            <w:pPr>
              <w:spacing w:before="156" w:after="156" w:line="380" w:lineRule="exact"/>
              <w:rPr>
                <w:rFonts w:ascii="宋体" w:hAnsi="宋体" w:cs="Arial"/>
                <w:szCs w:val="21"/>
              </w:rPr>
            </w:pPr>
            <w:r>
              <w:rPr>
                <w:rFonts w:hint="eastAsia" w:ascii="宋体" w:hAnsi="宋体" w:cs="Arial"/>
                <w:szCs w:val="21"/>
              </w:rPr>
              <w:t>“松本”牌或“奇胜”牌</w:t>
            </w:r>
          </w:p>
        </w:tc>
        <w:tc>
          <w:tcPr>
            <w:tcW w:w="2403" w:type="dxa"/>
            <w:vAlign w:val="center"/>
          </w:tcPr>
          <w:p>
            <w:pPr>
              <w:spacing w:before="156" w:after="156" w:line="380" w:lineRule="exact"/>
              <w:rPr>
                <w:rFonts w:ascii="宋体" w:hAnsi="宋体" w:cs="Arial"/>
                <w:szCs w:val="21"/>
              </w:rPr>
            </w:pPr>
            <w:r>
              <w:rPr>
                <w:rFonts w:hint="eastAsia" w:ascii="宋体" w:hAnsi="宋体" w:cs="Arial"/>
                <w:szCs w:val="21"/>
              </w:rPr>
              <w:t>详见设计图纸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1" w:type="dxa"/>
            <w:vAlign w:val="center"/>
          </w:tcPr>
          <w:p>
            <w:pPr>
              <w:spacing w:before="156" w:after="156" w:line="380" w:lineRule="exact"/>
              <w:rPr>
                <w:rFonts w:ascii="宋体" w:hAnsi="宋体" w:cs="Arial"/>
                <w:szCs w:val="21"/>
              </w:rPr>
            </w:pPr>
            <w:r>
              <w:rPr>
                <w:rFonts w:hint="eastAsia" w:ascii="宋体" w:hAnsi="宋体" w:cs="Arial"/>
                <w:szCs w:val="21"/>
              </w:rPr>
              <w:t>漏电开关、空气开关</w:t>
            </w:r>
          </w:p>
        </w:tc>
        <w:tc>
          <w:tcPr>
            <w:tcW w:w="4252" w:type="dxa"/>
            <w:vAlign w:val="center"/>
          </w:tcPr>
          <w:p>
            <w:pPr>
              <w:spacing w:before="156" w:after="156" w:line="380" w:lineRule="exact"/>
              <w:rPr>
                <w:rFonts w:ascii="宋体" w:hAnsi="宋体" w:cs="Arial"/>
                <w:szCs w:val="21"/>
              </w:rPr>
            </w:pPr>
            <w:r>
              <w:rPr>
                <w:rFonts w:hint="eastAsia" w:ascii="宋体" w:hAnsi="宋体" w:cs="Arial"/>
                <w:szCs w:val="21"/>
              </w:rPr>
              <w:t>“施耐德”牌或“上海良信”牌</w:t>
            </w:r>
          </w:p>
        </w:tc>
        <w:tc>
          <w:tcPr>
            <w:tcW w:w="2403" w:type="dxa"/>
            <w:vAlign w:val="center"/>
          </w:tcPr>
          <w:p>
            <w:pPr>
              <w:spacing w:before="156" w:after="156" w:line="380" w:lineRule="exact"/>
              <w:rPr>
                <w:rFonts w:ascii="宋体" w:hAnsi="宋体" w:cs="Arial"/>
                <w:szCs w:val="21"/>
              </w:rPr>
            </w:pPr>
            <w:r>
              <w:rPr>
                <w:rFonts w:hint="eastAsia" w:ascii="宋体" w:hAnsi="宋体" w:cs="Arial"/>
                <w:szCs w:val="21"/>
              </w:rPr>
              <w:t>详见设计图纸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1" w:type="dxa"/>
            <w:vAlign w:val="center"/>
          </w:tcPr>
          <w:p>
            <w:pPr>
              <w:spacing w:before="156" w:after="156" w:line="380" w:lineRule="exact"/>
              <w:rPr>
                <w:rFonts w:ascii="宋体" w:hAnsi="宋体" w:cs="Arial"/>
                <w:szCs w:val="21"/>
              </w:rPr>
            </w:pPr>
            <w:r>
              <w:rPr>
                <w:rFonts w:hint="eastAsia" w:ascii="宋体" w:hAnsi="宋体" w:cs="Arial"/>
                <w:szCs w:val="21"/>
              </w:rPr>
              <w:t>配电箱</w:t>
            </w:r>
          </w:p>
        </w:tc>
        <w:tc>
          <w:tcPr>
            <w:tcW w:w="4252" w:type="dxa"/>
            <w:vAlign w:val="center"/>
          </w:tcPr>
          <w:p>
            <w:pPr>
              <w:spacing w:before="156" w:after="156" w:line="380" w:lineRule="exact"/>
              <w:rPr>
                <w:rFonts w:ascii="宋体" w:hAnsi="宋体" w:cs="Arial"/>
                <w:szCs w:val="21"/>
              </w:rPr>
            </w:pPr>
            <w:r>
              <w:rPr>
                <w:rFonts w:hint="eastAsia" w:ascii="宋体" w:hAnsi="宋体" w:cs="Arial"/>
                <w:szCs w:val="21"/>
              </w:rPr>
              <w:t>“中山远东”牌或“日月明”牌</w:t>
            </w:r>
          </w:p>
        </w:tc>
        <w:tc>
          <w:tcPr>
            <w:tcW w:w="2403" w:type="dxa"/>
            <w:vAlign w:val="center"/>
          </w:tcPr>
          <w:p>
            <w:pPr>
              <w:spacing w:before="156" w:after="156" w:line="380" w:lineRule="exact"/>
              <w:rPr>
                <w:rFonts w:ascii="宋体" w:hAnsi="宋体" w:cs="Arial"/>
                <w:szCs w:val="21"/>
              </w:rPr>
            </w:pPr>
            <w:r>
              <w:rPr>
                <w:rFonts w:hint="eastAsia" w:ascii="宋体" w:hAnsi="宋体" w:cs="Arial"/>
                <w:szCs w:val="21"/>
              </w:rPr>
              <w:t>详见设计图纸</w:t>
            </w:r>
          </w:p>
        </w:tc>
      </w:tr>
    </w:tbl>
    <w:p>
      <w:pPr>
        <w:spacing w:line="360" w:lineRule="auto"/>
        <w:rPr>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第二条 材料检测要求：</w:t>
      </w:r>
    </w:p>
    <w:p>
      <w:pPr>
        <w:spacing w:line="360" w:lineRule="auto"/>
        <w:rPr>
          <w:rFonts w:ascii="宋体" w:hAnsi="宋体" w:eastAsia="宋体" w:cs="宋体"/>
          <w:bCs/>
          <w:kern w:val="0"/>
          <w:sz w:val="24"/>
        </w:rPr>
      </w:pPr>
      <w:r>
        <w:rPr>
          <w:rFonts w:hint="eastAsia" w:ascii="宋体" w:hAnsi="宋体" w:eastAsia="宋体" w:cs="宋体"/>
          <w:bCs/>
          <w:kern w:val="0"/>
          <w:sz w:val="24"/>
        </w:rPr>
        <w:t>本工程的检测费用由中选单位负责，检测费用包括以下项目但不限于以下项目：</w:t>
      </w:r>
    </w:p>
    <w:p>
      <w:pPr>
        <w:spacing w:line="360" w:lineRule="auto"/>
        <w:ind w:firstLine="480" w:firstLineChars="200"/>
        <w:rPr>
          <w:rFonts w:ascii="宋体" w:hAnsi="宋体" w:eastAsia="宋体" w:cs="宋体"/>
          <w:kern w:val="0"/>
          <w:sz w:val="24"/>
        </w:rPr>
      </w:pPr>
      <w:r>
        <w:rPr>
          <w:rFonts w:hint="eastAsia" w:ascii="宋体" w:hAnsi="宋体" w:eastAsia="宋体" w:cs="宋体"/>
          <w:bCs/>
          <w:kern w:val="0"/>
          <w:sz w:val="24"/>
        </w:rPr>
        <w:t>砼强度检验（砼抗压）、抗渗砼强度检验（抗渗砼抗压）、砂浆强度检验（砂浆抗压）、钢筋原材力学性能检验（拉伸，冷弯）、钢筋焊接接头（如采用绑接钢筋则不用检验拉伸、冷弯）、墙体砖检测（抗压强度、吸水率）、外墙饰面砖贴结强度检验（粘结强度）、铝窗的三性试验、水泥物理性能检验（安定性、凝结时间、细度、强度）、砼用砂、配合比设计（砼配合比设计、抗渗砼配合比设计、砂浆配合比设计）、瓷砖、防火材料检测费、桩检测费、消防（含第三方检测）。</w:t>
      </w:r>
    </w:p>
    <w:p>
      <w:pPr>
        <w:spacing w:line="360" w:lineRule="auto"/>
        <w:rPr>
          <w:rFonts w:hint="eastAsia"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第三条  有关补充说明：</w:t>
      </w:r>
    </w:p>
    <w:p>
      <w:pPr>
        <w:numPr>
          <w:ilvl w:val="0"/>
          <w:numId w:val="7"/>
        </w:numPr>
        <w:spacing w:line="360" w:lineRule="auto"/>
        <w:rPr>
          <w:rFonts w:ascii="宋体" w:hAnsi="宋体" w:eastAsia="宋体" w:cs="宋体"/>
          <w:kern w:val="0"/>
          <w:sz w:val="24"/>
        </w:rPr>
      </w:pPr>
      <w:r>
        <w:rPr>
          <w:rFonts w:hint="eastAsia" w:ascii="宋体" w:hAnsi="宋体" w:eastAsia="宋体" w:cs="宋体"/>
          <w:kern w:val="0"/>
          <w:sz w:val="24"/>
        </w:rPr>
        <w:t>所有材料进场须通知建设单位（项目需求单位）和监理验收，且应向建设单位（项目需求单位）和监理提供厂家资质证书和出厂合格证书等相关资料。</w:t>
      </w:r>
    </w:p>
    <w:p>
      <w:pPr>
        <w:numPr>
          <w:ilvl w:val="0"/>
          <w:numId w:val="7"/>
        </w:numPr>
        <w:spacing w:line="360" w:lineRule="auto"/>
        <w:rPr>
          <w:rFonts w:ascii="宋体" w:hAnsi="宋体"/>
          <w:kern w:val="0"/>
          <w:sz w:val="24"/>
        </w:rPr>
      </w:pPr>
      <w:r>
        <w:rPr>
          <w:rFonts w:hint="eastAsia" w:ascii="宋体" w:hAnsi="宋体" w:eastAsia="宋体" w:cs="宋体"/>
          <w:b/>
          <w:bCs/>
          <w:kern w:val="0"/>
          <w:sz w:val="24"/>
        </w:rPr>
        <w:t>竞投单位应核对全部工程量清单（或调整后工程量清单）、图纸项目和竞投范围说明，如果认为工程量清单存在项目特征描述不符、错漏或误差，或对施工图设计文件有疑问的，竞投单位必须在答疑时提出，如答疑结束前没提成任何问题，则竞投单位的报价将被视为竞投单位完全理解了工程量清单和施工图纸中的全部项目、数量及内容，因工程量漏项所产生的施工部分费用由竞投单位负责，建设单位（项目需求单位）不予补偿。除了因不可预见、建设单位（项目需求单位）原因、设计修改等特别说明的原因或其他建设单位（项目需求单位）特别同意等因素进行变更的按项目需求书10.4竞投控制价和承包标准第（13）点执行。</w:t>
      </w:r>
    </w:p>
    <w:p>
      <w:pPr>
        <w:keepNext w:val="0"/>
        <w:keepLines w:val="0"/>
        <w:pageBreakBefore w:val="0"/>
        <w:widowControl w:val="0"/>
        <w:numPr>
          <w:ilvl w:val="0"/>
          <w:numId w:val="7"/>
        </w:numPr>
        <w:kinsoku/>
        <w:wordWrap/>
        <w:overflowPunct/>
        <w:topLinePunct w:val="0"/>
        <w:autoSpaceDE/>
        <w:autoSpaceDN/>
        <w:bidi w:val="0"/>
        <w:adjustRightInd/>
        <w:snapToGrid/>
        <w:spacing w:afterAutospacing="0" w:line="30" w:lineRule="atLeast"/>
        <w:textAlignment w:val="auto"/>
        <w:rPr>
          <w:rFonts w:ascii="宋体" w:hAnsi="宋体"/>
          <w:kern w:val="0"/>
          <w:sz w:val="24"/>
        </w:rPr>
      </w:pPr>
      <w:r>
        <w:rPr>
          <w:rFonts w:hint="eastAsia" w:ascii="宋体" w:hAnsi="宋体"/>
          <w:kern w:val="0"/>
          <w:sz w:val="24"/>
        </w:rPr>
        <w:t>本工程所使用的水、电源接驳由中选单位负责办理相关手续，并承担所产生的一切费用，该费用在工程结算时均不作调整，工程施工过程中所发生的水、电费由</w:t>
      </w:r>
      <w:r>
        <w:rPr>
          <w:rFonts w:hint="eastAsia" w:ascii="宋体" w:hAnsi="宋体"/>
          <w:kern w:val="0"/>
          <w:sz w:val="24"/>
          <w:lang w:eastAsia="zh-CN"/>
        </w:rPr>
        <w:t>竞投</w:t>
      </w:r>
      <w:r>
        <w:rPr>
          <w:rFonts w:hint="eastAsia" w:ascii="宋体" w:hAnsi="宋体"/>
          <w:kern w:val="0"/>
          <w:sz w:val="24"/>
        </w:rPr>
        <w:t>单位自行到相关部门缴费，上述费用</w:t>
      </w:r>
      <w:r>
        <w:rPr>
          <w:rFonts w:hint="eastAsia" w:ascii="宋体" w:hAnsi="宋体"/>
          <w:kern w:val="0"/>
          <w:sz w:val="24"/>
          <w:lang w:eastAsia="zh-CN"/>
        </w:rPr>
        <w:t>竞投</w:t>
      </w:r>
      <w:r>
        <w:rPr>
          <w:rFonts w:hint="eastAsia" w:ascii="宋体" w:hAnsi="宋体"/>
          <w:kern w:val="0"/>
          <w:sz w:val="24"/>
        </w:rPr>
        <w:t>单位报价中自行考虑。</w:t>
      </w:r>
    </w:p>
    <w:p>
      <w:pPr>
        <w:pStyle w:val="10"/>
        <w:keepNext w:val="0"/>
        <w:keepLines w:val="0"/>
        <w:pageBreakBefore w:val="0"/>
        <w:widowControl w:val="0"/>
        <w:kinsoku/>
        <w:wordWrap/>
        <w:overflowPunct/>
        <w:topLinePunct w:val="0"/>
        <w:autoSpaceDE/>
        <w:autoSpaceDN/>
        <w:bidi w:val="0"/>
        <w:adjustRightInd/>
        <w:snapToGrid/>
        <w:spacing w:before="123" w:beforeLines="39" w:beforeAutospacing="0" w:line="30" w:lineRule="atLeast"/>
        <w:ind w:left="0" w:leftChars="0" w:firstLine="400" w:firstLineChars="167"/>
        <w:textAlignment w:val="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4.本项目土方、建筑废料外运弃置距离按10km考虑；</w:t>
      </w:r>
    </w:p>
    <w:p>
      <w:pPr>
        <w:pStyle w:val="10"/>
        <w:keepNext w:val="0"/>
        <w:keepLines w:val="0"/>
        <w:pageBreakBefore w:val="0"/>
        <w:widowControl w:val="0"/>
        <w:kinsoku/>
        <w:wordWrap/>
        <w:overflowPunct/>
        <w:topLinePunct w:val="0"/>
        <w:autoSpaceDE/>
        <w:autoSpaceDN/>
        <w:bidi w:val="0"/>
        <w:adjustRightInd/>
        <w:snapToGrid/>
        <w:spacing w:line="30" w:lineRule="atLeast"/>
        <w:ind w:firstLine="398" w:firstLineChars="166"/>
        <w:textAlignment w:val="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5.预应力混凝土管桩PHC-400，桩长按36米；</w:t>
      </w:r>
    </w:p>
    <w:p>
      <w:pPr>
        <w:pStyle w:val="10"/>
        <w:keepNext w:val="0"/>
        <w:keepLines w:val="0"/>
        <w:pageBreakBefore w:val="0"/>
        <w:widowControl w:val="0"/>
        <w:kinsoku/>
        <w:wordWrap/>
        <w:overflowPunct/>
        <w:topLinePunct w:val="0"/>
        <w:autoSpaceDE/>
        <w:autoSpaceDN/>
        <w:bidi w:val="0"/>
        <w:adjustRightInd/>
        <w:snapToGrid/>
        <w:spacing w:line="30" w:lineRule="atLeast"/>
        <w:ind w:firstLine="398" w:firstLineChars="166"/>
        <w:textAlignment w:val="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6.砌体使用烧结页岩空心砖墙；</w:t>
      </w:r>
    </w:p>
    <w:p>
      <w:pPr>
        <w:pStyle w:val="10"/>
        <w:keepNext w:val="0"/>
        <w:keepLines w:val="0"/>
        <w:pageBreakBefore w:val="0"/>
        <w:widowControl w:val="0"/>
        <w:kinsoku/>
        <w:wordWrap/>
        <w:overflowPunct/>
        <w:topLinePunct w:val="0"/>
        <w:autoSpaceDE/>
        <w:autoSpaceDN/>
        <w:bidi w:val="0"/>
        <w:adjustRightInd/>
        <w:snapToGrid/>
        <w:spacing w:line="30" w:lineRule="atLeast"/>
        <w:ind w:firstLine="398" w:firstLineChars="166"/>
        <w:textAlignment w:val="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7.图纸外内容室内地面做水泥密封固化剂楼地面处理；</w:t>
      </w:r>
    </w:p>
    <w:p>
      <w:pPr>
        <w:pStyle w:val="10"/>
        <w:keepNext w:val="0"/>
        <w:keepLines w:val="0"/>
        <w:pageBreakBefore w:val="0"/>
        <w:widowControl w:val="0"/>
        <w:kinsoku/>
        <w:wordWrap/>
        <w:overflowPunct/>
        <w:topLinePunct w:val="0"/>
        <w:autoSpaceDE/>
        <w:autoSpaceDN/>
        <w:bidi w:val="0"/>
        <w:adjustRightInd/>
        <w:snapToGrid/>
        <w:spacing w:line="30" w:lineRule="atLeast"/>
        <w:ind w:firstLine="398" w:firstLineChars="166"/>
        <w:textAlignment w:val="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8.图纸外内容楼梯原设计做米黄色抛光砖更换为花岗石材（梯段+平台）；</w:t>
      </w:r>
    </w:p>
    <w:p>
      <w:pPr>
        <w:pStyle w:val="10"/>
        <w:keepNext w:val="0"/>
        <w:keepLines w:val="0"/>
        <w:pageBreakBefore w:val="0"/>
        <w:widowControl w:val="0"/>
        <w:kinsoku/>
        <w:wordWrap/>
        <w:overflowPunct/>
        <w:topLinePunct w:val="0"/>
        <w:autoSpaceDE/>
        <w:autoSpaceDN/>
        <w:bidi w:val="0"/>
        <w:adjustRightInd/>
        <w:snapToGrid/>
        <w:spacing w:line="30" w:lineRule="atLeast"/>
        <w:ind w:firstLine="398" w:firstLineChars="166"/>
        <w:textAlignment w:val="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9.图纸外内容绿化面积均铺种草皮，车位划线，围墙做不锈钢围栏；</w:t>
      </w:r>
    </w:p>
    <w:p>
      <w:pPr>
        <w:pStyle w:val="10"/>
        <w:keepNext w:val="0"/>
        <w:keepLines w:val="0"/>
        <w:pageBreakBefore w:val="0"/>
        <w:widowControl w:val="0"/>
        <w:kinsoku/>
        <w:wordWrap/>
        <w:overflowPunct/>
        <w:topLinePunct w:val="0"/>
        <w:autoSpaceDE/>
        <w:autoSpaceDN/>
        <w:bidi w:val="0"/>
        <w:adjustRightInd/>
        <w:snapToGrid/>
        <w:spacing w:line="30" w:lineRule="atLeast"/>
        <w:ind w:firstLine="398" w:firstLineChars="166"/>
        <w:textAlignment w:val="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10.图纸外内容安装部分新增电梯工程；</w:t>
      </w:r>
    </w:p>
    <w:p>
      <w:pPr>
        <w:pStyle w:val="10"/>
        <w:keepNext w:val="0"/>
        <w:keepLines w:val="0"/>
        <w:pageBreakBefore w:val="0"/>
        <w:widowControl w:val="0"/>
        <w:kinsoku/>
        <w:wordWrap/>
        <w:overflowPunct/>
        <w:topLinePunct w:val="0"/>
        <w:autoSpaceDE/>
        <w:autoSpaceDN/>
        <w:bidi w:val="0"/>
        <w:adjustRightInd/>
        <w:snapToGrid/>
        <w:spacing w:line="30" w:lineRule="atLeast"/>
        <w:ind w:firstLine="398" w:firstLineChars="166"/>
        <w:textAlignment w:val="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11.原设计图纸要求结构地面厚度为12CM，现厚度修改为15CM；混凝土强度为C25，现强度修改为C30；</w:t>
      </w:r>
    </w:p>
    <w:p>
      <w:pPr>
        <w:pStyle w:val="10"/>
        <w:keepNext w:val="0"/>
        <w:keepLines w:val="0"/>
        <w:pageBreakBefore w:val="0"/>
        <w:widowControl w:val="0"/>
        <w:kinsoku/>
        <w:wordWrap/>
        <w:overflowPunct/>
        <w:topLinePunct w:val="0"/>
        <w:autoSpaceDE/>
        <w:autoSpaceDN/>
        <w:bidi w:val="0"/>
        <w:adjustRightInd/>
        <w:snapToGrid/>
        <w:spacing w:line="30" w:lineRule="atLeast"/>
        <w:ind w:firstLine="398" w:firstLineChars="166"/>
        <w:textAlignment w:val="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12.图纸外内容增加在基础四周地梁增加插筋，要求Ф8@250进行铺设，结构地面施工时，要求结构地面钢筋需与插筋进行绑扎搭接；</w:t>
      </w:r>
    </w:p>
    <w:p>
      <w:pPr>
        <w:pStyle w:val="10"/>
        <w:keepNext w:val="0"/>
        <w:keepLines w:val="0"/>
        <w:pageBreakBefore w:val="0"/>
        <w:widowControl w:val="0"/>
        <w:kinsoku/>
        <w:wordWrap/>
        <w:overflowPunct/>
        <w:topLinePunct w:val="0"/>
        <w:autoSpaceDE/>
        <w:autoSpaceDN/>
        <w:bidi w:val="0"/>
        <w:adjustRightInd/>
        <w:snapToGrid/>
        <w:spacing w:line="30" w:lineRule="atLeast"/>
        <w:ind w:firstLine="398" w:firstLineChars="166"/>
        <w:textAlignment w:val="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13.图纸外内容增加排烟窗在离地1.3米高安装带手动开启装置；</w:t>
      </w:r>
    </w:p>
    <w:p>
      <w:pPr>
        <w:pStyle w:val="10"/>
        <w:keepNext w:val="0"/>
        <w:keepLines w:val="0"/>
        <w:pageBreakBefore w:val="0"/>
        <w:widowControl w:val="0"/>
        <w:kinsoku/>
        <w:wordWrap/>
        <w:overflowPunct/>
        <w:topLinePunct w:val="0"/>
        <w:autoSpaceDE/>
        <w:autoSpaceDN/>
        <w:bidi w:val="0"/>
        <w:adjustRightInd/>
        <w:snapToGrid/>
        <w:spacing w:line="30" w:lineRule="atLeast"/>
        <w:ind w:firstLine="398" w:firstLineChars="166"/>
        <w:textAlignment w:val="auto"/>
        <w:rPr>
          <w:rFonts w:hint="eastAsia" w:ascii="宋体" w:hAnsi="宋体" w:eastAsiaTheme="minorEastAsia" w:cstheme="minorBidi"/>
          <w:kern w:val="0"/>
          <w:sz w:val="24"/>
          <w:szCs w:val="24"/>
          <w:lang w:val="en-US" w:eastAsia="zh-CN" w:bidi="ar-SA"/>
        </w:rPr>
      </w:pPr>
      <w:r>
        <w:rPr>
          <w:rFonts w:hint="eastAsia" w:ascii="宋体" w:hAnsi="宋体" w:cstheme="minorBidi"/>
          <w:kern w:val="0"/>
          <w:sz w:val="24"/>
          <w:szCs w:val="24"/>
          <w:lang w:val="en-US" w:eastAsia="zh-CN" w:bidi="ar-SA"/>
        </w:rPr>
        <w:t>14.</w:t>
      </w:r>
      <w:r>
        <w:rPr>
          <w:rFonts w:hint="eastAsia" w:ascii="宋体" w:hAnsi="宋体" w:eastAsiaTheme="minorEastAsia" w:cstheme="minorBidi"/>
          <w:kern w:val="0"/>
          <w:sz w:val="24"/>
          <w:szCs w:val="24"/>
          <w:lang w:val="en-US" w:eastAsia="zh-CN" w:bidi="ar-SA"/>
        </w:rPr>
        <w:t>其他未尽事宜以答疑后业主回复为准。</w:t>
      </w:r>
    </w:p>
    <w:p>
      <w:pPr>
        <w:spacing w:line="360" w:lineRule="auto"/>
        <w:ind w:left="400"/>
        <w:rPr>
          <w:rFonts w:ascii="宋体" w:hAnsi="宋体" w:eastAsia="宋体" w:cs="宋体"/>
          <w:b/>
          <w:bCs/>
          <w:kern w:val="0"/>
          <w:sz w:val="24"/>
        </w:rPr>
      </w:pPr>
    </w:p>
    <w:p>
      <w:pPr>
        <w:spacing w:line="360" w:lineRule="auto"/>
        <w:ind w:left="400"/>
        <w:rPr>
          <w:rFonts w:ascii="宋体" w:hAnsi="宋体" w:eastAsia="宋体" w:cs="宋体"/>
          <w:kern w:val="0"/>
          <w:sz w:val="24"/>
        </w:rPr>
      </w:pPr>
    </w:p>
    <w:p>
      <w:pPr>
        <w:rPr>
          <w:rFonts w:ascii="宋体" w:hAnsi="宋体" w:eastAsia="宋体" w:cs="宋体"/>
          <w:kern w:val="0"/>
          <w:sz w:val="24"/>
        </w:rPr>
      </w:pPr>
    </w:p>
    <w:p>
      <w:pPr>
        <w:spacing w:line="400" w:lineRule="exact"/>
        <w:rPr>
          <w:rFonts w:ascii="宋体" w:hAnsi="宋体" w:eastAsia="宋体" w:cs="宋体"/>
          <w:kern w:val="0"/>
          <w:sz w:val="24"/>
        </w:rPr>
      </w:pPr>
    </w:p>
    <w:p/>
    <w:p/>
    <w:p/>
    <w:p/>
    <w:p/>
    <w:p/>
    <w:sectPr>
      <w:pgSz w:w="11906" w:h="16838"/>
      <w:pgMar w:top="1246" w:right="164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7"/>
                            <w:rPr>
                              <w:rStyle w:val="14"/>
                            </w:rPr>
                          </w:pPr>
                          <w:r>
                            <w:fldChar w:fldCharType="begin"/>
                          </w:r>
                          <w:r>
                            <w:rPr>
                              <w:rStyle w:val="14"/>
                            </w:rPr>
                            <w:instrText xml:space="preserve">PAGE  </w:instrText>
                          </w:r>
                          <w:r>
                            <w:fldChar w:fldCharType="separate"/>
                          </w:r>
                          <w:r>
                            <w:rPr>
                              <w:rStyle w:val="14"/>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DS/3YAQAAsQ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MMNL/dgBAACxAwAADgAAAAAAAAAB&#10;ACAAAAAiAQAAZHJzL2Uyb0RvYy54bWxQSwUGAAAAAAYABgBZAQAAbAUAAAAA&#10;">
              <v:fill on="f" focussize="0,0"/>
              <v:stroke on="f" weight="1.25pt"/>
              <v:imagedata o:title=""/>
              <o:lock v:ext="edit" aspectratio="f"/>
              <v:textbox inset="0mm,0mm,0mm,0mm" style="mso-fit-shape-to-text:t;">
                <w:txbxContent>
                  <w:p>
                    <w:pPr>
                      <w:pStyle w:val="7"/>
                      <w:rPr>
                        <w:rStyle w:val="14"/>
                      </w:rPr>
                    </w:pPr>
                    <w:r>
                      <w:fldChar w:fldCharType="begin"/>
                    </w:r>
                    <w:r>
                      <w:rPr>
                        <w:rStyle w:val="14"/>
                      </w:rPr>
                      <w:instrText xml:space="preserve">PAGE  </w:instrText>
                    </w:r>
                    <w:r>
                      <w:fldChar w:fldCharType="separate"/>
                    </w:r>
                    <w:r>
                      <w:rPr>
                        <w:rStyle w:val="14"/>
                      </w:rP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7"/>
                            <w:rPr>
                              <w:rStyle w:val="14"/>
                            </w:rPr>
                          </w:pPr>
                          <w:r>
                            <w:fldChar w:fldCharType="begin"/>
                          </w:r>
                          <w:r>
                            <w:rPr>
                              <w:rStyle w:val="14"/>
                            </w:rPr>
                            <w:instrText xml:space="preserve">PAGE  </w:instrText>
                          </w:r>
                          <w:r>
                            <w:fldChar w:fldCharType="separate"/>
                          </w:r>
                          <w:r>
                            <w:rPr>
                              <w:rStyle w:val="14"/>
                            </w:rPr>
                            <w:t>70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fill on="f" focussize="0,0"/>
              <v:stroke on="f" weight="1.25pt"/>
              <v:imagedata o:title=""/>
              <o:lock v:ext="edit" aspectratio="f"/>
              <v:textbox inset="0mm,0mm,0mm,0mm" style="mso-fit-shape-to-text:t;">
                <w:txbxContent>
                  <w:p>
                    <w:pPr>
                      <w:pStyle w:val="7"/>
                      <w:rPr>
                        <w:rStyle w:val="14"/>
                      </w:rPr>
                    </w:pPr>
                    <w:r>
                      <w:fldChar w:fldCharType="begin"/>
                    </w:r>
                    <w:r>
                      <w:rPr>
                        <w:rStyle w:val="14"/>
                      </w:rPr>
                      <w:instrText xml:space="preserve">PAGE  </w:instrText>
                    </w:r>
                    <w:r>
                      <w:fldChar w:fldCharType="separate"/>
                    </w:r>
                    <w:r>
                      <w:rPr>
                        <w:rStyle w:val="14"/>
                      </w:rPr>
                      <w:t>70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separate"/>
    </w:r>
    <w:r>
      <w:rPr>
        <w:rStyle w:val="14"/>
      </w:rPr>
      <w:t>15</w: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2D005"/>
    <w:multiLevelType w:val="singleLevel"/>
    <w:tmpl w:val="9522D005"/>
    <w:lvl w:ilvl="0" w:tentative="0">
      <w:start w:val="1"/>
      <w:numFmt w:val="decimal"/>
      <w:suff w:val="nothing"/>
      <w:lvlText w:val="%1．"/>
      <w:lvlJc w:val="left"/>
      <w:pPr>
        <w:ind w:left="0" w:firstLine="400"/>
      </w:pPr>
      <w:rPr>
        <w:rFonts w:hint="default"/>
      </w:rPr>
    </w:lvl>
  </w:abstractNum>
  <w:abstractNum w:abstractNumId="1">
    <w:nsid w:val="00000007"/>
    <w:multiLevelType w:val="multilevel"/>
    <w:tmpl w:val="00000007"/>
    <w:lvl w:ilvl="0" w:tentative="0">
      <w:start w:val="1"/>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9"/>
    <w:multiLevelType w:val="multilevel"/>
    <w:tmpl w:val="00000009"/>
    <w:lvl w:ilvl="0" w:tentative="0">
      <w:start w:val="1"/>
      <w:numFmt w:val="decimal"/>
      <w:lvlText w:val="%1）"/>
      <w:lvlJc w:val="left"/>
      <w:pPr>
        <w:ind w:left="1049" w:hanging="360"/>
      </w:pPr>
      <w:rPr>
        <w:rFonts w:hint="default"/>
        <w:b w:val="0"/>
      </w:rPr>
    </w:lvl>
    <w:lvl w:ilvl="1" w:tentative="0">
      <w:start w:val="1"/>
      <w:numFmt w:val="lowerLetter"/>
      <w:lvlText w:val="%2)"/>
      <w:lvlJc w:val="left"/>
      <w:pPr>
        <w:ind w:left="1529" w:hanging="420"/>
      </w:pPr>
    </w:lvl>
    <w:lvl w:ilvl="2" w:tentative="0">
      <w:start w:val="1"/>
      <w:numFmt w:val="lowerRoman"/>
      <w:lvlText w:val="%3."/>
      <w:lvlJc w:val="right"/>
      <w:pPr>
        <w:ind w:left="1949" w:hanging="420"/>
      </w:pPr>
    </w:lvl>
    <w:lvl w:ilvl="3" w:tentative="0">
      <w:start w:val="1"/>
      <w:numFmt w:val="decimal"/>
      <w:lvlText w:val="%4."/>
      <w:lvlJc w:val="left"/>
      <w:pPr>
        <w:ind w:left="2369" w:hanging="420"/>
      </w:pPr>
    </w:lvl>
    <w:lvl w:ilvl="4" w:tentative="0">
      <w:start w:val="1"/>
      <w:numFmt w:val="lowerLetter"/>
      <w:lvlText w:val="%5)"/>
      <w:lvlJc w:val="left"/>
      <w:pPr>
        <w:ind w:left="2789" w:hanging="420"/>
      </w:pPr>
    </w:lvl>
    <w:lvl w:ilvl="5" w:tentative="0">
      <w:start w:val="1"/>
      <w:numFmt w:val="lowerRoman"/>
      <w:lvlText w:val="%6."/>
      <w:lvlJc w:val="right"/>
      <w:pPr>
        <w:ind w:left="3209" w:hanging="420"/>
      </w:pPr>
    </w:lvl>
    <w:lvl w:ilvl="6" w:tentative="0">
      <w:start w:val="1"/>
      <w:numFmt w:val="decimal"/>
      <w:lvlText w:val="%7."/>
      <w:lvlJc w:val="left"/>
      <w:pPr>
        <w:ind w:left="3629" w:hanging="420"/>
      </w:pPr>
    </w:lvl>
    <w:lvl w:ilvl="7" w:tentative="0">
      <w:start w:val="1"/>
      <w:numFmt w:val="lowerLetter"/>
      <w:lvlText w:val="%8)"/>
      <w:lvlJc w:val="left"/>
      <w:pPr>
        <w:ind w:left="4049" w:hanging="420"/>
      </w:pPr>
    </w:lvl>
    <w:lvl w:ilvl="8" w:tentative="0">
      <w:start w:val="1"/>
      <w:numFmt w:val="lowerRoman"/>
      <w:lvlText w:val="%9."/>
      <w:lvlJc w:val="right"/>
      <w:pPr>
        <w:ind w:left="4469" w:hanging="420"/>
      </w:pPr>
    </w:lvl>
  </w:abstractNum>
  <w:abstractNum w:abstractNumId="3">
    <w:nsid w:val="5DF750D6"/>
    <w:multiLevelType w:val="singleLevel"/>
    <w:tmpl w:val="5DF750D6"/>
    <w:lvl w:ilvl="0" w:tentative="0">
      <w:start w:val="1"/>
      <w:numFmt w:val="chineseCounting"/>
      <w:suff w:val="space"/>
      <w:lvlText w:val="第%1条"/>
      <w:lvlJc w:val="left"/>
    </w:lvl>
  </w:abstractNum>
  <w:abstractNum w:abstractNumId="4">
    <w:nsid w:val="5DF750EF"/>
    <w:multiLevelType w:val="singleLevel"/>
    <w:tmpl w:val="5DF750EF"/>
    <w:lvl w:ilvl="0" w:tentative="0">
      <w:start w:val="1"/>
      <w:numFmt w:val="decimal"/>
      <w:lvlText w:val="%1."/>
      <w:lvlJc w:val="left"/>
      <w:pPr>
        <w:ind w:left="425" w:hanging="425"/>
      </w:pPr>
      <w:rPr>
        <w:rFonts w:hint="default"/>
      </w:rPr>
    </w:lvl>
  </w:abstractNum>
  <w:abstractNum w:abstractNumId="5">
    <w:nsid w:val="5DF88AA2"/>
    <w:multiLevelType w:val="singleLevel"/>
    <w:tmpl w:val="5DF88AA2"/>
    <w:lvl w:ilvl="0" w:tentative="0">
      <w:start w:val="1"/>
      <w:numFmt w:val="decimal"/>
      <w:lvlText w:val="%1)"/>
      <w:lvlJc w:val="left"/>
      <w:pPr>
        <w:ind w:left="425" w:hanging="425"/>
      </w:pPr>
      <w:rPr>
        <w:rFonts w:hint="default"/>
      </w:rPr>
    </w:lvl>
  </w:abstractNum>
  <w:abstractNum w:abstractNumId="6">
    <w:nsid w:val="7F30AE3B"/>
    <w:multiLevelType w:val="singleLevel"/>
    <w:tmpl w:val="7F30AE3B"/>
    <w:lvl w:ilvl="0" w:tentative="0">
      <w:start w:val="6"/>
      <w:numFmt w:val="chineseCounting"/>
      <w:suff w:val="space"/>
      <w:lvlText w:val="第%1章"/>
      <w:lvlJc w:val="left"/>
      <w:rPr>
        <w:rFonts w:hint="eastAsia"/>
      </w:rPr>
    </w:lvl>
  </w:abstractNum>
  <w:num w:numId="1">
    <w:abstractNumId w:val="1"/>
  </w:num>
  <w:num w:numId="2">
    <w:abstractNumId w:val="2"/>
    <w:lvlOverride w:ilvl="0">
      <w:startOverride w:val="1"/>
    </w:lvlOverride>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5ZDk3MTY5ODI3YWQ2MmFmY2ZmZjJhYjFhMTZkMzIifQ=="/>
  </w:docVars>
  <w:rsids>
    <w:rsidRoot w:val="41932933"/>
    <w:rsid w:val="04004606"/>
    <w:rsid w:val="07057FDE"/>
    <w:rsid w:val="09D733ED"/>
    <w:rsid w:val="0C927956"/>
    <w:rsid w:val="14C024F2"/>
    <w:rsid w:val="180F7CDC"/>
    <w:rsid w:val="1AF81A42"/>
    <w:rsid w:val="20F53B2C"/>
    <w:rsid w:val="2D884294"/>
    <w:rsid w:val="2DB13071"/>
    <w:rsid w:val="35F41E82"/>
    <w:rsid w:val="415A4045"/>
    <w:rsid w:val="41932933"/>
    <w:rsid w:val="4A941EA6"/>
    <w:rsid w:val="520B7B9A"/>
    <w:rsid w:val="5664010B"/>
    <w:rsid w:val="5A705A6C"/>
    <w:rsid w:val="69FC2AE1"/>
    <w:rsid w:val="6B1930C8"/>
    <w:rsid w:val="77462C57"/>
    <w:rsid w:val="794A5D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eastAsia="宋体"/>
      <w:b/>
      <w:bCs/>
      <w:kern w:val="44"/>
      <w:sz w:val="32"/>
      <w:szCs w:val="44"/>
    </w:rPr>
  </w:style>
  <w:style w:type="paragraph" w:styleId="4">
    <w:name w:val="heading 3"/>
    <w:basedOn w:val="1"/>
    <w:next w:val="1"/>
    <w:unhideWhenUsed/>
    <w:qFormat/>
    <w:uiPriority w:val="0"/>
    <w:pPr>
      <w:keepNext/>
      <w:keepLines/>
      <w:spacing w:line="360" w:lineRule="auto"/>
      <w:outlineLvl w:val="2"/>
    </w:pPr>
    <w:rPr>
      <w:b/>
      <w:bCs/>
      <w:sz w:val="24"/>
      <w:szCs w:val="32"/>
    </w:rPr>
  </w:style>
  <w:style w:type="paragraph" w:styleId="5">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paragraph" w:styleId="10">
    <w:name w:val="Body Text First Indent"/>
    <w:basedOn w:val="1"/>
    <w:qFormat/>
    <w:uiPriority w:val="99"/>
    <w:pPr>
      <w:spacing w:after="120"/>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qFormat/>
    <w:uiPriority w:val="0"/>
    <w:rPr>
      <w:color w:val="0000FF"/>
      <w:u w:val="single"/>
    </w:rPr>
  </w:style>
  <w:style w:type="paragraph" w:customStyle="1" w:styleId="16">
    <w:name w:val="表格文字"/>
    <w:basedOn w:val="1"/>
    <w:qFormat/>
    <w:uiPriority w:val="0"/>
    <w:pPr>
      <w:spacing w:line="300" w:lineRule="exact"/>
    </w:pPr>
    <w:rPr>
      <w:rFonts w:ascii="宋体" w:hAnsi="宋体"/>
      <w:color w:val="000000"/>
      <w:szCs w:val="21"/>
    </w:rPr>
  </w:style>
  <w:style w:type="paragraph" w:customStyle="1" w:styleId="17">
    <w:name w:val="_Style 1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33135</Words>
  <Characters>35161</Characters>
  <Lines>0</Lines>
  <Paragraphs>0</Paragraphs>
  <TotalTime>44</TotalTime>
  <ScaleCrop>false</ScaleCrop>
  <LinksUpToDate>false</LinksUpToDate>
  <CharactersWithSpaces>37256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2021-09-16T01:50:00Z</dcterms:created>
  <dc:creator>麦碗</dc:creator>
  <cp:lastModifiedBy>Administrator</cp:lastModifiedBy>
  <dcterms:modified xsi:type="dcterms:W3CDTF">2023-05-26T00:32:39Z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BB3FDFBC64974BBE8324031FD813A8AE_13</vt:lpwstr>
  </property>
</Properties>
</file>