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4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pacing w:val="33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33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石岐街道中山市通用科创园“工改工”宗地项目“三旧”改造方案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74" w:lineRule="exact"/>
        <w:ind w:firstLine="0" w:firstLineChars="0"/>
        <w:rPr>
          <w:rFonts w:hint="default" w:ascii="Times New Roman" w:hAnsi="Times New Roman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left="0" w:firstLine="636" w:firstLineChars="200"/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根</w:t>
      </w:r>
      <w:r>
        <w:rPr>
          <w:rFonts w:hint="default" w:ascii="Times New Roman" w:hAnsi="Times New Roman" w:eastAsia="仿宋_GB2312" w:cs="Times New Roman"/>
          <w:color w:val="000000" w:themeColor="text1"/>
          <w:spacing w:val="3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据</w:t>
      </w:r>
      <w:r>
        <w:rPr>
          <w:rFonts w:hint="default" w:ascii="Times New Roman" w:hAnsi="Times New Roman" w:eastAsia="仿宋_GB2312" w:cs="Times New Roman"/>
          <w:color w:val="000000" w:themeColor="text1"/>
          <w:spacing w:val="2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中山市城市更新（“三旧”改造）专项规划</w:t>
      </w:r>
      <w:r>
        <w:rPr>
          <w:rFonts w:hint="default" w:ascii="Times New Roman" w:hAnsi="Times New Roman" w:eastAsia="仿宋_GB2312" w:cs="Times New Roman"/>
          <w:color w:val="000000" w:themeColor="text1"/>
          <w:spacing w:val="2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和现行控制性详细规划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-12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中山市人民政府石岐街道办事处</w:t>
      </w:r>
      <w:r>
        <w:rPr>
          <w:rFonts w:hint="default" w:ascii="Times New Roman" w:hAnsi="Times New Roman" w:eastAsia="仿宋_GB2312" w:cs="Times New Roman"/>
          <w:color w:val="000000" w:themeColor="text1"/>
          <w:spacing w:val="-12"/>
          <w:sz w:val="31"/>
          <w:szCs w:val="31"/>
          <w:u w:val="none"/>
          <w14:textFill>
            <w14:solidFill>
              <w14:schemeClr w14:val="tx1"/>
            </w14:solidFill>
          </w14:textFill>
        </w:rPr>
        <w:t>拟对位于石岐区民科东路9号的中山市通用螺丝制造有限公司旧厂房用地进行改造，由中山市通用螺丝制造有限公司自主</w:t>
      </w:r>
      <w:r>
        <w:rPr>
          <w:rFonts w:hint="default" w:ascii="Times New Roman" w:hAnsi="Times New Roman" w:eastAsia="仿宋_GB2312" w:cs="Times New Roman"/>
          <w:color w:val="000000" w:themeColor="text1"/>
          <w:spacing w:val="2"/>
          <w:sz w:val="31"/>
          <w:szCs w:val="31"/>
          <w:u w:val="none"/>
          <w14:textFill>
            <w14:solidFill>
              <w14:schemeClr w14:val="tx1"/>
            </w14:solidFill>
          </w14:textFill>
        </w:rPr>
        <w:t>改造，采取</w:t>
      </w:r>
      <w:r>
        <w:rPr>
          <w:rFonts w:hint="default" w:ascii="Times New Roman" w:hAnsi="Times New Roman" w:eastAsia="仿宋_GB2312" w:cs="Times New Roman"/>
          <w:color w:val="000000" w:themeColor="text1"/>
          <w:spacing w:val="2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全面改造</w:t>
      </w:r>
      <w:r>
        <w:rPr>
          <w:rFonts w:hint="default" w:ascii="Times New Roman" w:hAnsi="Times New Roman" w:eastAsia="仿宋_GB2312" w:cs="Times New Roman"/>
          <w:color w:val="000000" w:themeColor="text1"/>
          <w:spacing w:val="2"/>
          <w:sz w:val="31"/>
          <w:szCs w:val="31"/>
          <w:u w:val="none"/>
          <w14:textFill>
            <w14:solidFill>
              <w14:schemeClr w14:val="tx1"/>
            </w14:solidFill>
          </w14:textFill>
        </w:rPr>
        <w:t>方式。改造</w:t>
      </w:r>
      <w:r>
        <w:rPr>
          <w:rFonts w:hint="default" w:ascii="Times New Roman" w:hAnsi="Times New Roman" w:eastAsia="仿宋_GB2312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  <w:t>方案如</w:t>
      </w:r>
      <w:r>
        <w:rPr>
          <w:rFonts w:hint="default" w:ascii="Times New Roman" w:hAnsi="Times New Roman" w:eastAsia="仿宋_GB2312" w:cs="Times New Roman"/>
          <w:color w:val="000000" w:themeColor="text1"/>
          <w:spacing w:val="-3"/>
          <w:sz w:val="31"/>
          <w:szCs w:val="31"/>
          <w:u w:val="none"/>
          <w14:textFill>
            <w14:solidFill>
              <w14:schemeClr w14:val="tx1"/>
            </w14:solidFill>
          </w14:textFill>
        </w:rPr>
        <w:t>下：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74" w:lineRule="exact"/>
        <w:ind w:left="0" w:firstLine="604" w:firstLineChars="200"/>
        <w:rPr>
          <w:rFonts w:hint="default" w:ascii="Times New Roman" w:hAnsi="Times New Roman" w:eastAsia="黑体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4"/>
          <w:sz w:val="31"/>
          <w:szCs w:val="31"/>
          <w:u w:val="none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黑体" w:cs="Times New Roman"/>
          <w:color w:val="000000" w:themeColor="text1"/>
          <w:spacing w:val="-2"/>
          <w:sz w:val="31"/>
          <w:szCs w:val="31"/>
          <w:u w:val="none"/>
          <w14:textFill>
            <w14:solidFill>
              <w14:schemeClr w14:val="tx1"/>
            </w14:solidFill>
          </w14:textFill>
        </w:rPr>
        <w:t>、改造地块基本情况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left="0" w:firstLine="700" w:firstLineChars="200"/>
        <w:rPr>
          <w:rFonts w:hint="default" w:ascii="Times New Roman" w:hAnsi="Times New Roman" w:eastAsia="楷体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pacing w:val="20"/>
          <w:sz w:val="31"/>
          <w:szCs w:val="31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pacing w:val="16"/>
          <w:sz w:val="31"/>
          <w:szCs w:val="31"/>
          <w:u w:val="none"/>
          <w14:textFill>
            <w14:solidFill>
              <w14:schemeClr w14:val="tx1"/>
            </w14:solidFill>
          </w14:textFill>
        </w:rPr>
        <w:t>一） 总体情况。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left="0" w:right="0" w:firstLine="636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改造地块位于石岐区民科东路9号，北至民盈东路，南至民科东路，东至兴创路，西至兴发路，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用地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面积1.37公顷（13701.6平方米，折合约20.55亩）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left="0" w:firstLine="684" w:firstLineChars="200"/>
        <w:rPr>
          <w:rFonts w:hint="default" w:ascii="Times New Roman" w:hAnsi="Times New Roman" w:eastAsia="楷体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pacing w:val="16"/>
          <w:sz w:val="31"/>
          <w:szCs w:val="31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pacing w:val="13"/>
          <w:sz w:val="31"/>
          <w:szCs w:val="31"/>
          <w:u w:val="none"/>
          <w14:textFill>
            <w14:solidFill>
              <w14:schemeClr w14:val="tx1"/>
            </w14:solidFill>
          </w14:textFill>
        </w:rPr>
        <w:t>二） 标图入库情况。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right="0" w:firstLine="636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改造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地块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月纳入“三旧”标图入库，图斑编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号44200060049，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已标图入库面积为1.37公顷（13675.57平方米，折合约20.51亩）。本项目实际改造面积为已标图入库面积。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left="0" w:firstLine="700" w:firstLineChars="200"/>
        <w:rPr>
          <w:rFonts w:hint="default" w:ascii="Times New Roman" w:hAnsi="Times New Roman" w:eastAsia="楷体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pacing w:val="20"/>
          <w:sz w:val="31"/>
          <w:szCs w:val="31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pacing w:val="16"/>
          <w:sz w:val="31"/>
          <w:szCs w:val="31"/>
          <w:u w:val="none"/>
          <w14:textFill>
            <w14:solidFill>
              <w14:schemeClr w14:val="tx1"/>
            </w14:solidFill>
          </w14:textFill>
        </w:rPr>
        <w:t>三） 权属情况。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left="0" w:firstLine="636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改造范围内全部属国有建设用地13701.6平方米，土地用途为工业，改造涉及的土地已经确权、登记，不动产权证号为粤（2022）中山市不动产权第0089696号，为土地权利人中山市通用螺丝制造有限公司自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2001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月开始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投入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使用。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74" w:lineRule="exact"/>
        <w:ind w:left="0" w:firstLine="664" w:firstLineChars="200"/>
        <w:rPr>
          <w:rFonts w:hint="default" w:ascii="Times New Roman" w:hAnsi="Times New Roman" w:eastAsia="楷体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pacing w:val="11"/>
          <w:sz w:val="31"/>
          <w:szCs w:val="31"/>
          <w:u w:val="none"/>
          <w14:textFill>
            <w14:solidFill>
              <w14:schemeClr w14:val="tx1"/>
            </w14:solidFill>
          </w14:textFill>
        </w:rPr>
        <w:t>（四） 土地利用现状情况</w:t>
      </w:r>
      <w:r>
        <w:rPr>
          <w:rFonts w:hint="default" w:ascii="Times New Roman" w:hAnsi="Times New Roman" w:eastAsia="楷体" w:cs="Times New Roman"/>
          <w:color w:val="000000" w:themeColor="text1"/>
          <w:spacing w:val="8"/>
          <w:sz w:val="31"/>
          <w:szCs w:val="31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left="0" w:right="0" w:firstLine="636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改造主体地块现有2栋建筑物，为中山市通用螺丝制造有限公司自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2001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月开始使用。已按规定办理规划报建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施工和验收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等手续，现有建筑面积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3652.17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平方米，现状容积率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0.27，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作工业厂房所用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改造前年产值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约2000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万元，年税收为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约130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left="0" w:right="0" w:firstLine="636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改造地块不涉及闲置、抵押、历史文化要素情况。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74" w:lineRule="exact"/>
        <w:ind w:left="0" w:firstLine="700" w:firstLineChars="200"/>
        <w:rPr>
          <w:rFonts w:hint="default" w:ascii="Times New Roman" w:hAnsi="Times New Roman" w:eastAsia="楷体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pacing w:val="20"/>
          <w:sz w:val="31"/>
          <w:szCs w:val="31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" w:cs="Times New Roman"/>
          <w:color w:val="000000" w:themeColor="text1"/>
          <w:spacing w:val="16"/>
          <w:sz w:val="31"/>
          <w:szCs w:val="31"/>
          <w:u w:val="none"/>
          <w14:textFill>
            <w14:solidFill>
              <w14:schemeClr w14:val="tx1"/>
            </w14:solidFill>
          </w14:textFill>
        </w:rPr>
        <w:t>五） 规划情况。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right="0" w:firstLine="636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改造主体地块符合国土空间总体规划（土地利用总体规划）、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控制性详细规划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，已纳入市城市更新（“三旧”改造）专项规划。其中，在国土空间总体规划（土地利用总体规划）中，属城镇建设用地1.37公顷(13701.6平方米，折合约20.55亩）；控制性详细规划中，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项目范围内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一类工业用地1.2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公顷（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126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28.31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平方米，折合约18.9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亩），规划容积率1.0-3.5，建筑密度35-60，绿地率10-15，建筑高度≤50米（配套生产性服务设施高度≤100米），城市道路用地0.10公顷(1047.3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平方米，折合约1.57亩）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二类居住用地0.003公顷（25.98平方米，折合约0.04亩）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right="0" w:firstLine="636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改造地块不涉及永久基本农田、生态保护红线、城镇开发边界等管控要求。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74" w:lineRule="exact"/>
        <w:ind w:left="0" w:firstLine="604" w:firstLineChars="200"/>
        <w:rPr>
          <w:rFonts w:hint="default" w:ascii="Times New Roman" w:hAnsi="Times New Roman" w:eastAsia="黑体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4"/>
          <w:sz w:val="31"/>
          <w:szCs w:val="31"/>
          <w:u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pacing w:val="-2"/>
          <w:sz w:val="31"/>
          <w:szCs w:val="31"/>
          <w:u w:val="none"/>
          <w14:textFill>
            <w14:solidFill>
              <w14:schemeClr w14:val="tx1"/>
            </w14:solidFill>
          </w14:textFill>
        </w:rPr>
        <w:t>改造意愿情况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right="0" w:firstLine="636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改造范围涉及中山市通用螺丝制造有限公司1个权利主体，中山市人民政府石岐街道办事处已按照法律法规，就改造范围、土地现状、改造主体及拟改造情况等事项征询权利人改造意愿，经征询权利人，同意将涉及土地、房屋纳入改造范围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74" w:lineRule="exact"/>
        <w:ind w:left="0" w:firstLine="604" w:firstLineChars="200"/>
        <w:rPr>
          <w:rFonts w:hint="default" w:ascii="Times New Roman" w:hAnsi="Times New Roman" w:eastAsia="黑体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4"/>
          <w:sz w:val="31"/>
          <w:szCs w:val="31"/>
          <w:u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pacing w:val="-3"/>
          <w:sz w:val="31"/>
          <w:szCs w:val="31"/>
          <w:u w:val="none"/>
          <w14:textFill>
            <w14:solidFill>
              <w14:schemeClr w14:val="tx1"/>
            </w14:solidFill>
          </w14:textFill>
        </w:rPr>
        <w:t>改</w:t>
      </w:r>
      <w:r>
        <w:rPr>
          <w:rFonts w:hint="default" w:ascii="Times New Roman" w:hAnsi="Times New Roman" w:eastAsia="黑体" w:cs="Times New Roman"/>
          <w:color w:val="000000" w:themeColor="text1"/>
          <w:spacing w:val="-2"/>
          <w:sz w:val="31"/>
          <w:szCs w:val="31"/>
          <w:u w:val="none"/>
          <w14:textFill>
            <w14:solidFill>
              <w14:schemeClr w14:val="tx1"/>
            </w14:solidFill>
          </w14:textFill>
        </w:rPr>
        <w:t>造主体及拟改造情况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left="0" w:leftChars="0" w:right="0" w:firstLine="636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根据有关规划要求，改造项目严格按照国土空间总体规划（土地利用总体规划）、控制性详细规划管控要求实施建设。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在详细规划中属道路和绿地等公益性用地部分，日后属地政府需按规划开发建设时，应无偿将用地交给属地政府使用。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right="0" w:firstLine="636" w:firstLineChars="200"/>
        <w:jc w:val="both"/>
        <w:rPr>
          <w:rFonts w:hint="default" w:ascii="Times New Roman" w:hAnsi="Times New Roman" w:eastAsia="仿宋_GB2312" w:cs="Times New Roman"/>
          <w:color w:val="0000FF"/>
          <w:spacing w:val="4"/>
          <w:sz w:val="31"/>
          <w:szCs w:val="31"/>
          <w:highlight w:val="yellow"/>
          <w:u w:val="none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改造项目拟采取权利人自主改造方式，由中山市通用螺丝制造有限公司作为改造主体，实施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全面改造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。改造后将用于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制造业、新能源产业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、新轻产业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信息技术应用、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研发中心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等。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在符合详细规划的基础上，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容积率不小于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3.0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，总建筑面积不小于</w:t>
      </w:r>
      <w:r>
        <w:rPr>
          <w:rFonts w:hint="eastAsia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46110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平方米（含不计容建筑面积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约</w:t>
      </w:r>
      <w:r>
        <w:rPr>
          <w:rFonts w:hint="eastAsia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5000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平方米），其中新建建筑面积</w:t>
      </w:r>
      <w:r>
        <w:rPr>
          <w:rFonts w:hint="eastAsia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eastAsia="zh-CN"/>
        </w:rPr>
        <w:t>不小于</w:t>
      </w:r>
      <w:r>
        <w:rPr>
          <w:rFonts w:hint="eastAsia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46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平方米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left="0" w:right="0" w:firstLine="636" w:firstLineChars="200"/>
        <w:jc w:val="both"/>
        <w:rPr>
          <w:rFonts w:hint="default" w:ascii="Times New Roman" w:hAnsi="Times New Roman" w:eastAsia="仿宋" w:cs="Times New Roman"/>
          <w:color w:val="000000" w:themeColor="text1"/>
          <w:sz w:val="31"/>
          <w:szCs w:val="31"/>
          <w:highlight w:val="magenta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项目相关情况符合国家《产业结构调整指导目录》、《中山市差别化环保准入促进区域发展实施细则》、《中山市涉挥发性有机物项目环保准入管理规定》。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改造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达产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后年产值将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不低于16408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亩均800万/年；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年税收将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不低于205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  <w:lang w:val="en-US" w:eastAsia="zh-CN"/>
        </w:rPr>
        <w:t>亩均10万/年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74" w:lineRule="exact"/>
        <w:ind w:left="0" w:firstLine="588" w:firstLineChars="200"/>
        <w:rPr>
          <w:rFonts w:hint="default" w:ascii="Times New Roman" w:hAnsi="Times New Roman" w:eastAsia="黑体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8"/>
          <w:sz w:val="31"/>
          <w:szCs w:val="31"/>
          <w:u w:val="none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pacing w:val="-4"/>
          <w:sz w:val="31"/>
          <w:szCs w:val="31"/>
          <w:u w:val="none"/>
          <w14:textFill>
            <w14:solidFill>
              <w14:schemeClr w14:val="tx1"/>
            </w14:solidFill>
          </w14:textFill>
        </w:rPr>
        <w:t>、资金筹措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36" w:firstLineChars="200"/>
        <w:jc w:val="left"/>
        <w:textAlignment w:val="auto"/>
        <w:rPr>
          <w:rFonts w:hint="default" w:ascii="Times New Roman" w:hAnsi="Times New Roman" w:cs="Times New Roman"/>
          <w:strike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改造主体拟投入资金约1.3亿元，其中自有资金2000万元，银行借贷8000万元，社会融资3000万元。以上数据以最终实际发生为准。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line="574" w:lineRule="exact"/>
        <w:ind w:left="0" w:firstLine="608" w:firstLineChars="200"/>
        <w:rPr>
          <w:rFonts w:hint="default" w:ascii="Times New Roman" w:hAnsi="Times New Roman" w:eastAsia="黑体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3"/>
          <w:sz w:val="31"/>
          <w:szCs w:val="31"/>
          <w:u w:val="none"/>
          <w14:textFill>
            <w14:solidFill>
              <w14:schemeClr w14:val="tx1"/>
            </w14:solidFill>
          </w14:textFill>
        </w:rPr>
        <w:t>五、开发时序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74" w:lineRule="exact"/>
        <w:ind w:left="0" w:firstLine="636" w:firstLineChars="200"/>
        <w:jc w:val="both"/>
        <w:rPr>
          <w:rFonts w:hint="default" w:ascii="Times New Roman" w:hAnsi="Times New Roman" w:eastAsia="仿宋" w:cs="Times New Roman"/>
          <w:color w:val="000000" w:themeColor="text1"/>
          <w:spacing w:val="-26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拟分1期开发建设，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开发周期为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年，开发时间为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2023年9月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，拟投入资金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1.3亿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主要建设工业厂房及相应配套设施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74" w:lineRule="exact"/>
        <w:ind w:left="0" w:firstLine="596" w:firstLineChars="200"/>
        <w:rPr>
          <w:rFonts w:hint="default" w:ascii="Times New Roman" w:hAnsi="Times New Roman" w:eastAsia="黑体" w:cs="Times New Roman"/>
          <w:color w:val="000000" w:themeColor="text1"/>
          <w:sz w:val="31"/>
          <w:szCs w:val="31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6"/>
          <w:sz w:val="31"/>
          <w:szCs w:val="31"/>
          <w:u w:val="none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spacing w:val="-4"/>
          <w:sz w:val="31"/>
          <w:szCs w:val="31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spacing w:val="-3"/>
          <w:sz w:val="31"/>
          <w:szCs w:val="31"/>
          <w:u w:val="none"/>
          <w14:textFill>
            <w14:solidFill>
              <w14:schemeClr w14:val="tx1"/>
            </w14:solidFill>
          </w14:textFill>
        </w:rPr>
        <w:t>实施监管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4" w:lineRule="exact"/>
        <w:ind w:firstLine="636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pacing w:val="4"/>
          <w:kern w:val="0"/>
          <w:sz w:val="31"/>
          <w:szCs w:val="3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4"/>
          <w:kern w:val="0"/>
          <w:sz w:val="31"/>
          <w:szCs w:val="3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项目拟改造情况（包含建设规模、投资强度、产值、税收等要求及引入的产业、环保、能耗等准入要求）和开发时序须在项目履约监管合同中明确，其中项目改造后引进产业需符合中山市产业导向，重点引进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制造业、新能源产业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、新轻产业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信息技术应用、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14:textFill>
            <w14:solidFill>
              <w14:schemeClr w14:val="tx1"/>
            </w14:solidFill>
          </w14:textFill>
        </w:rPr>
        <w:t>研发中心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pacing w:val="4"/>
          <w:kern w:val="0"/>
          <w:sz w:val="31"/>
          <w:szCs w:val="3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。具体开发时间、相关协议等以相关约定为准。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4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pacing w:val="4"/>
          <w:kern w:val="0"/>
          <w:sz w:val="31"/>
          <w:szCs w:val="31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4" w:lineRule="exact"/>
        <w:ind w:firstLine="1590" w:firstLineChars="500"/>
        <w:jc w:val="left"/>
        <w:rPr>
          <w:rFonts w:hint="default" w:ascii="Times New Roman" w:hAnsi="Times New Roman" w:eastAsia="仿宋_GB2312" w:cs="Times New Roman"/>
          <w:color w:val="000000" w:themeColor="text1"/>
          <w:spacing w:val="4"/>
          <w:sz w:val="31"/>
          <w:szCs w:val="3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16" w:h="16848"/>
      <w:pgMar w:top="1440" w:right="1800" w:bottom="1440" w:left="1800" w:header="227" w:footer="113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2291715</wp:posOffset>
              </wp:positionH>
              <wp:positionV relativeFrom="paragraph">
                <wp:posOffset>-596265</wp:posOffset>
              </wp:positionV>
              <wp:extent cx="1828800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0.45pt;margin-top:-46.95pt;height:24.35pt;width:144pt;mso-position-horizontal-relative:margin;mso-wrap-style:none;z-index:251659264;mso-width-relative:page;mso-height-relative:page;" filled="f" stroked="f" coordsize="21600,21600" o:gfxdata="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lb7eDaAAAACwEAAA8AAAAAAAAAAQAgAAAAIgAAAGRycy9kb3du&#10;cmV2LnhtbFBLAQIUABQAAAAIAIdO4kBIfgeA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ODBkMmE5MGRhYzA2NTgwM2U4YWRlYjQyYmJkYzEifQ=="/>
  </w:docVars>
  <w:rsids>
    <w:rsidRoot w:val="006A479E"/>
    <w:rsid w:val="00040986"/>
    <w:rsid w:val="00145DAE"/>
    <w:rsid w:val="001558D9"/>
    <w:rsid w:val="0019343A"/>
    <w:rsid w:val="0020450E"/>
    <w:rsid w:val="004657E4"/>
    <w:rsid w:val="004B21C7"/>
    <w:rsid w:val="005404DB"/>
    <w:rsid w:val="005A0FB6"/>
    <w:rsid w:val="00625178"/>
    <w:rsid w:val="006A479E"/>
    <w:rsid w:val="0073100C"/>
    <w:rsid w:val="007914BA"/>
    <w:rsid w:val="007C2184"/>
    <w:rsid w:val="008C5088"/>
    <w:rsid w:val="00957220"/>
    <w:rsid w:val="00BA3CDF"/>
    <w:rsid w:val="00BF7760"/>
    <w:rsid w:val="00CB18BB"/>
    <w:rsid w:val="00CC0325"/>
    <w:rsid w:val="00D2489B"/>
    <w:rsid w:val="00D94246"/>
    <w:rsid w:val="00F557F8"/>
    <w:rsid w:val="00FB6EDF"/>
    <w:rsid w:val="01325041"/>
    <w:rsid w:val="016A4161"/>
    <w:rsid w:val="022301F5"/>
    <w:rsid w:val="035678EA"/>
    <w:rsid w:val="041E2507"/>
    <w:rsid w:val="05723C7C"/>
    <w:rsid w:val="06485056"/>
    <w:rsid w:val="07856B14"/>
    <w:rsid w:val="088F29AF"/>
    <w:rsid w:val="097D251D"/>
    <w:rsid w:val="0A245182"/>
    <w:rsid w:val="0BB377CC"/>
    <w:rsid w:val="0C491737"/>
    <w:rsid w:val="0CC87A86"/>
    <w:rsid w:val="0CCF3326"/>
    <w:rsid w:val="0D154302"/>
    <w:rsid w:val="0D974E8F"/>
    <w:rsid w:val="0DB83F46"/>
    <w:rsid w:val="0DB8556E"/>
    <w:rsid w:val="0DD2055E"/>
    <w:rsid w:val="0E3C1B66"/>
    <w:rsid w:val="0E856E25"/>
    <w:rsid w:val="0EFE6307"/>
    <w:rsid w:val="0F7C5D76"/>
    <w:rsid w:val="100628C3"/>
    <w:rsid w:val="10401C27"/>
    <w:rsid w:val="11663423"/>
    <w:rsid w:val="11D65EFE"/>
    <w:rsid w:val="127669D8"/>
    <w:rsid w:val="12DB15A5"/>
    <w:rsid w:val="137F7BEF"/>
    <w:rsid w:val="147A050D"/>
    <w:rsid w:val="147B3C2A"/>
    <w:rsid w:val="161E7AD7"/>
    <w:rsid w:val="176D55BE"/>
    <w:rsid w:val="1788002A"/>
    <w:rsid w:val="1A2B5589"/>
    <w:rsid w:val="1B281F85"/>
    <w:rsid w:val="1C082388"/>
    <w:rsid w:val="1C3C24BA"/>
    <w:rsid w:val="1C962C76"/>
    <w:rsid w:val="1DC81EFF"/>
    <w:rsid w:val="1E7D76DA"/>
    <w:rsid w:val="1EEC608F"/>
    <w:rsid w:val="1F3A74F3"/>
    <w:rsid w:val="1FC93ACD"/>
    <w:rsid w:val="204F167E"/>
    <w:rsid w:val="20970C07"/>
    <w:rsid w:val="20C80CEF"/>
    <w:rsid w:val="20D81670"/>
    <w:rsid w:val="21E11287"/>
    <w:rsid w:val="232B1946"/>
    <w:rsid w:val="23443CE8"/>
    <w:rsid w:val="240D11B3"/>
    <w:rsid w:val="24B958C5"/>
    <w:rsid w:val="24C91DA9"/>
    <w:rsid w:val="25005442"/>
    <w:rsid w:val="25007ACF"/>
    <w:rsid w:val="254C7941"/>
    <w:rsid w:val="25FA7CAF"/>
    <w:rsid w:val="263141E3"/>
    <w:rsid w:val="27C04E47"/>
    <w:rsid w:val="27CE02D5"/>
    <w:rsid w:val="288817BE"/>
    <w:rsid w:val="28CC4373"/>
    <w:rsid w:val="28CF2429"/>
    <w:rsid w:val="28DA3E5B"/>
    <w:rsid w:val="29F828A2"/>
    <w:rsid w:val="2A0C4820"/>
    <w:rsid w:val="2B48310F"/>
    <w:rsid w:val="2C264CFB"/>
    <w:rsid w:val="2C906929"/>
    <w:rsid w:val="2D103CA1"/>
    <w:rsid w:val="2ED14854"/>
    <w:rsid w:val="2EDE5274"/>
    <w:rsid w:val="2F305F8A"/>
    <w:rsid w:val="2F364819"/>
    <w:rsid w:val="30275F10"/>
    <w:rsid w:val="30427FCF"/>
    <w:rsid w:val="30AD2B86"/>
    <w:rsid w:val="30E107B4"/>
    <w:rsid w:val="30F00157"/>
    <w:rsid w:val="32254CD1"/>
    <w:rsid w:val="325A4859"/>
    <w:rsid w:val="32E95D13"/>
    <w:rsid w:val="36F170FA"/>
    <w:rsid w:val="3733791C"/>
    <w:rsid w:val="374144A9"/>
    <w:rsid w:val="38140E50"/>
    <w:rsid w:val="393E5857"/>
    <w:rsid w:val="3A1B4320"/>
    <w:rsid w:val="3A250F74"/>
    <w:rsid w:val="3A730758"/>
    <w:rsid w:val="3A731F37"/>
    <w:rsid w:val="3A79517B"/>
    <w:rsid w:val="3A7D69BD"/>
    <w:rsid w:val="3A9348BE"/>
    <w:rsid w:val="3B7F24AA"/>
    <w:rsid w:val="3C0F49D9"/>
    <w:rsid w:val="3C791B79"/>
    <w:rsid w:val="3CC247B3"/>
    <w:rsid w:val="3D66443D"/>
    <w:rsid w:val="3E756C84"/>
    <w:rsid w:val="3EE6709F"/>
    <w:rsid w:val="40743EBA"/>
    <w:rsid w:val="4101455B"/>
    <w:rsid w:val="41256429"/>
    <w:rsid w:val="419E29B4"/>
    <w:rsid w:val="41B06152"/>
    <w:rsid w:val="42775F1B"/>
    <w:rsid w:val="42814751"/>
    <w:rsid w:val="4388655A"/>
    <w:rsid w:val="43993170"/>
    <w:rsid w:val="43AC6A00"/>
    <w:rsid w:val="43EA2579"/>
    <w:rsid w:val="44204C51"/>
    <w:rsid w:val="442A5561"/>
    <w:rsid w:val="44315157"/>
    <w:rsid w:val="463D4287"/>
    <w:rsid w:val="477D598D"/>
    <w:rsid w:val="4A094FB0"/>
    <w:rsid w:val="4A484FA8"/>
    <w:rsid w:val="4A7768F2"/>
    <w:rsid w:val="4ABA6297"/>
    <w:rsid w:val="4B7C51E4"/>
    <w:rsid w:val="4BB1381F"/>
    <w:rsid w:val="4BF379FB"/>
    <w:rsid w:val="4E614C59"/>
    <w:rsid w:val="4EFC2002"/>
    <w:rsid w:val="4F321068"/>
    <w:rsid w:val="4F602A27"/>
    <w:rsid w:val="4FFD05E3"/>
    <w:rsid w:val="502C6097"/>
    <w:rsid w:val="502E69EF"/>
    <w:rsid w:val="51170698"/>
    <w:rsid w:val="51A71702"/>
    <w:rsid w:val="52A15B9E"/>
    <w:rsid w:val="530B240E"/>
    <w:rsid w:val="54047DE6"/>
    <w:rsid w:val="558B6968"/>
    <w:rsid w:val="575F1D66"/>
    <w:rsid w:val="58B137A9"/>
    <w:rsid w:val="59301A29"/>
    <w:rsid w:val="59646F03"/>
    <w:rsid w:val="5A12178A"/>
    <w:rsid w:val="5AFC6985"/>
    <w:rsid w:val="5B9C6858"/>
    <w:rsid w:val="5C602D32"/>
    <w:rsid w:val="5C7F65A3"/>
    <w:rsid w:val="5D142BC1"/>
    <w:rsid w:val="5DB06C95"/>
    <w:rsid w:val="5DE36428"/>
    <w:rsid w:val="5E435FA8"/>
    <w:rsid w:val="5EAC05BF"/>
    <w:rsid w:val="5EBF3633"/>
    <w:rsid w:val="5EF15E41"/>
    <w:rsid w:val="5F0A3E4D"/>
    <w:rsid w:val="5F8F32D6"/>
    <w:rsid w:val="5FB76A00"/>
    <w:rsid w:val="5FDF6558"/>
    <w:rsid w:val="61227270"/>
    <w:rsid w:val="625300FD"/>
    <w:rsid w:val="6280132C"/>
    <w:rsid w:val="630C0C8E"/>
    <w:rsid w:val="630C655C"/>
    <w:rsid w:val="64A166FA"/>
    <w:rsid w:val="64C86FBA"/>
    <w:rsid w:val="64F5507D"/>
    <w:rsid w:val="653B6D24"/>
    <w:rsid w:val="65723AE7"/>
    <w:rsid w:val="6586237C"/>
    <w:rsid w:val="66422206"/>
    <w:rsid w:val="668F5FE1"/>
    <w:rsid w:val="66B27EF6"/>
    <w:rsid w:val="66CC2D91"/>
    <w:rsid w:val="673426E5"/>
    <w:rsid w:val="67F2631F"/>
    <w:rsid w:val="68C5626C"/>
    <w:rsid w:val="69FE0764"/>
    <w:rsid w:val="6BFE0EC0"/>
    <w:rsid w:val="6C524A63"/>
    <w:rsid w:val="6D342338"/>
    <w:rsid w:val="6D874340"/>
    <w:rsid w:val="6DEC001B"/>
    <w:rsid w:val="6DFD57E6"/>
    <w:rsid w:val="6E5B1D9A"/>
    <w:rsid w:val="6ED36561"/>
    <w:rsid w:val="6F082DA4"/>
    <w:rsid w:val="6FAC3933"/>
    <w:rsid w:val="706246EE"/>
    <w:rsid w:val="71162ABA"/>
    <w:rsid w:val="719B00D6"/>
    <w:rsid w:val="71A26D11"/>
    <w:rsid w:val="733F3BA1"/>
    <w:rsid w:val="73DB10C1"/>
    <w:rsid w:val="73DE76F1"/>
    <w:rsid w:val="73E82D35"/>
    <w:rsid w:val="741649FB"/>
    <w:rsid w:val="746E4293"/>
    <w:rsid w:val="74933EC8"/>
    <w:rsid w:val="74C5141F"/>
    <w:rsid w:val="75055A8C"/>
    <w:rsid w:val="7546457C"/>
    <w:rsid w:val="75E81754"/>
    <w:rsid w:val="767173B7"/>
    <w:rsid w:val="76994BBA"/>
    <w:rsid w:val="773C3B26"/>
    <w:rsid w:val="77FC1EE6"/>
    <w:rsid w:val="78271E31"/>
    <w:rsid w:val="782A7532"/>
    <w:rsid w:val="785206F6"/>
    <w:rsid w:val="791B013F"/>
    <w:rsid w:val="7A1B52AB"/>
    <w:rsid w:val="7B4F0974"/>
    <w:rsid w:val="7B6C46EB"/>
    <w:rsid w:val="7B70506D"/>
    <w:rsid w:val="7BDD1145"/>
    <w:rsid w:val="7D812E2A"/>
    <w:rsid w:val="7DD93F05"/>
    <w:rsid w:val="7DF34AAF"/>
    <w:rsid w:val="7FA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8" w:firstLineChars="225"/>
    </w:pPr>
    <w:rPr>
      <w:rFonts w:ascii="宋体" w:hAnsi="宋体"/>
      <w:sz w:val="24"/>
    </w:rPr>
  </w:style>
  <w:style w:type="paragraph" w:styleId="5">
    <w:name w:val="annotation text"/>
    <w:basedOn w:val="1"/>
    <w:qFormat/>
    <w:uiPriority w:val="0"/>
    <w:rPr>
      <w:rFonts w:ascii="Arial" w:hAnsi="Arial" w:eastAsiaTheme="minorEastAsia"/>
      <w:b/>
      <w:sz w:val="28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Char"/>
    <w:basedOn w:val="10"/>
    <w:link w:val="6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1515</Characters>
  <Lines>13</Lines>
  <Paragraphs>3</Paragraphs>
  <TotalTime>3</TotalTime>
  <ScaleCrop>false</ScaleCrop>
  <LinksUpToDate>false</LinksUpToDate>
  <CharactersWithSpaces>1534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2022-08-15T17:22:00Z</dcterms:created>
  <dc:creator>user_common</dc:creator>
  <cp:lastModifiedBy>王冲</cp:lastModifiedBy>
  <cp:lastPrinted>2023-04-18T08:15:00Z</cp:lastPrinted>
  <dcterms:modified xsi:type="dcterms:W3CDTF">2023-05-23T10:50:35Z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2022-08-16T15:47:36Z</vt:filetime>
  </property>
  <property fmtid="{D5CDD505-2E9C-101B-9397-08002B2CF9AE}" pid="4" name="KSOProductBuildVer">
    <vt:lpwstr>2052-11.8.2.11716</vt:lpwstr>
  </property>
  <property fmtid="{D5CDD505-2E9C-101B-9397-08002B2CF9AE}" pid="5" name="ICV">
    <vt:lpwstr>1FABD690296E494AA03ED5C4E3852333_13</vt:lpwstr>
  </property>
</Properties>
</file>