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line="574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33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33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石岐街道中山市通用科创园“工改工”宗地项目“三旧”改造方案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74" w:lineRule="exact"/>
        <w:ind w:firstLine="0" w:firstLineChars="0"/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left="0" w:firstLine="636" w:firstLineChars="200"/>
        <w:rPr>
          <w:rFonts w:hint="eastAsia" w:ascii="仿宋_GB2312" w:hAnsi="仿宋_GB2312" w:eastAsia="仿宋_GB2312" w:cs="仿宋_GB2312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根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据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中山市城市更新（“三旧”改造）专项规划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和现行控制性详细规划</w:t>
      </w:r>
      <w:r>
        <w:rPr>
          <w:rFonts w:hint="eastAsia" w:ascii="仿宋_GB2312" w:hAnsi="仿宋_GB2312" w:eastAsia="仿宋_GB2312" w:cs="仿宋_GB2312"/>
          <w:color w:val="000000" w:themeColor="text1"/>
          <w:spacing w:val="-8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-12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中山市人民政府石岐街道办事处</w:t>
      </w:r>
      <w:r>
        <w:rPr>
          <w:rFonts w:hint="eastAsia" w:ascii="仿宋_GB2312" w:hAnsi="仿宋_GB2312" w:eastAsia="仿宋_GB2312" w:cs="仿宋_GB2312"/>
          <w:color w:val="000000" w:themeColor="text1"/>
          <w:spacing w:val="-12"/>
          <w:sz w:val="31"/>
          <w:szCs w:val="31"/>
          <w:u w:val="none"/>
          <w14:textFill>
            <w14:solidFill>
              <w14:schemeClr w14:val="tx1"/>
            </w14:solidFill>
          </w14:textFill>
        </w:rPr>
        <w:t>拟对位于石岐区民科东路9号的中山市通用螺丝制造有限公司旧厂房用地进行改造，由中山市通用螺丝制造有限公司自主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1"/>
          <w:szCs w:val="31"/>
          <w:u w:val="none"/>
          <w14:textFill>
            <w14:solidFill>
              <w14:schemeClr w14:val="tx1"/>
            </w14:solidFill>
          </w14:textFill>
        </w:rPr>
        <w:t>改造，采取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全面改造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1"/>
          <w:szCs w:val="31"/>
          <w:u w:val="none"/>
          <w14:textFill>
            <w14:solidFill>
              <w14:schemeClr w14:val="tx1"/>
            </w14:solidFill>
          </w14:textFill>
        </w:rPr>
        <w:t>方式。改造</w:t>
      </w:r>
      <w:r>
        <w:rPr>
          <w:rFonts w:hint="eastAsia" w:ascii="仿宋_GB2312" w:hAnsi="仿宋_GB2312" w:eastAsia="仿宋_GB2312" w:cs="仿宋_GB2312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  <w:t>方案如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1"/>
          <w:szCs w:val="31"/>
          <w:u w:val="none"/>
          <w14:textFill>
            <w14:solidFill>
              <w14:schemeClr w14:val="tx1"/>
            </w14:solidFill>
          </w14:textFill>
        </w:rPr>
        <w:t>下：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74" w:lineRule="exact"/>
        <w:ind w:left="0" w:firstLine="604" w:firstLineChars="200"/>
        <w:rPr>
          <w:rFonts w:ascii="黑体" w:hAnsi="黑体" w:eastAsia="黑体" w:cs="黑体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pacing w:val="-4"/>
          <w:sz w:val="31"/>
          <w:szCs w:val="31"/>
          <w:u w:val="none"/>
          <w14:textFill>
            <w14:solidFill>
              <w14:schemeClr w14:val="tx1"/>
            </w14:solidFill>
          </w14:textFill>
        </w:rPr>
        <w:t>一</w:t>
      </w:r>
      <w:r>
        <w:rPr>
          <w:rFonts w:ascii="黑体" w:hAnsi="黑体" w:eastAsia="黑体" w:cs="黑体"/>
          <w:color w:val="000000" w:themeColor="text1"/>
          <w:spacing w:val="-2"/>
          <w:sz w:val="31"/>
          <w:szCs w:val="31"/>
          <w:u w:val="none"/>
          <w14:textFill>
            <w14:solidFill>
              <w14:schemeClr w14:val="tx1"/>
            </w14:solidFill>
          </w14:textFill>
        </w:rPr>
        <w:t>、改造地块基本情况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left="0" w:firstLine="700" w:firstLineChars="200"/>
        <w:rPr>
          <w:rFonts w:ascii="楷体" w:hAnsi="楷体" w:eastAsia="楷体" w:cs="楷体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pacing w:val="20"/>
          <w:sz w:val="31"/>
          <w:szCs w:val="31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ascii="楷体" w:hAnsi="楷体" w:eastAsia="楷体" w:cs="楷体"/>
          <w:color w:val="000000" w:themeColor="text1"/>
          <w:spacing w:val="16"/>
          <w:sz w:val="31"/>
          <w:szCs w:val="31"/>
          <w:u w:val="none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" w:hAnsi="楷体" w:eastAsia="楷体" w:cs="楷体"/>
          <w:color w:val="000000" w:themeColor="text1"/>
          <w:spacing w:val="16"/>
          <w:sz w:val="31"/>
          <w:szCs w:val="31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ascii="楷体" w:hAnsi="楷体" w:eastAsia="楷体" w:cs="楷体"/>
          <w:color w:val="000000" w:themeColor="text1"/>
          <w:spacing w:val="16"/>
          <w:sz w:val="31"/>
          <w:szCs w:val="31"/>
          <w:u w:val="none"/>
          <w14:textFill>
            <w14:solidFill>
              <w14:schemeClr w14:val="tx1"/>
            </w14:solidFill>
          </w14:textFill>
        </w:rPr>
        <w:t xml:space="preserve"> 总体情况。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left="0" w:right="0" w:firstLine="636" w:firstLineChars="200"/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改造地块位于石岐区民科东路9号，北至民盈东路，南至民科东路，东至兴创路，西至兴发路，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用地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面积1.37公顷（13701.6平方米，折合约20.55亩）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left="0" w:firstLine="684" w:firstLineChars="200"/>
        <w:rPr>
          <w:rFonts w:ascii="楷体" w:hAnsi="楷体" w:eastAsia="楷体" w:cs="楷体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pacing w:val="16"/>
          <w:sz w:val="31"/>
          <w:szCs w:val="31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ascii="楷体" w:hAnsi="楷体" w:eastAsia="楷体" w:cs="楷体"/>
          <w:color w:val="000000" w:themeColor="text1"/>
          <w:spacing w:val="13"/>
          <w:sz w:val="31"/>
          <w:szCs w:val="31"/>
          <w:u w:val="none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" w:hAnsi="楷体" w:eastAsia="楷体" w:cs="楷体"/>
          <w:color w:val="000000" w:themeColor="text1"/>
          <w:spacing w:val="13"/>
          <w:sz w:val="31"/>
          <w:szCs w:val="31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ascii="楷体" w:hAnsi="楷体" w:eastAsia="楷体" w:cs="楷体"/>
          <w:color w:val="000000" w:themeColor="text1"/>
          <w:spacing w:val="13"/>
          <w:sz w:val="31"/>
          <w:szCs w:val="31"/>
          <w:u w:val="none"/>
          <w14:textFill>
            <w14:solidFill>
              <w14:schemeClr w14:val="tx1"/>
            </w14:solidFill>
          </w14:textFill>
        </w:rPr>
        <w:t xml:space="preserve"> 标图入库情况。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right="0" w:firstLine="636" w:firstLineChars="200"/>
        <w:rPr>
          <w:rFonts w:hint="default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改造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地块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月纳入“三旧”标图入库，图斑编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</w:rPr>
        <w:t>号44200060049，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已标图入库面积为1.37公顷（13675.57平方米，折合约20.51亩）。本项目实际改造面积为已标图入库面积。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left="0" w:firstLine="700" w:firstLineChars="200"/>
        <w:rPr>
          <w:rFonts w:ascii="楷体" w:hAnsi="楷体" w:eastAsia="楷体" w:cs="楷体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pacing w:val="20"/>
          <w:sz w:val="31"/>
          <w:szCs w:val="31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ascii="楷体" w:hAnsi="楷体" w:eastAsia="楷体" w:cs="楷体"/>
          <w:color w:val="000000" w:themeColor="text1"/>
          <w:spacing w:val="16"/>
          <w:sz w:val="31"/>
          <w:szCs w:val="31"/>
          <w:u w:val="none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" w:hAnsi="楷体" w:eastAsia="楷体" w:cs="楷体"/>
          <w:color w:val="000000" w:themeColor="text1"/>
          <w:spacing w:val="16"/>
          <w:sz w:val="31"/>
          <w:szCs w:val="31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ascii="楷体" w:hAnsi="楷体" w:eastAsia="楷体" w:cs="楷体"/>
          <w:color w:val="000000" w:themeColor="text1"/>
          <w:spacing w:val="16"/>
          <w:sz w:val="31"/>
          <w:szCs w:val="31"/>
          <w:u w:val="none"/>
          <w14:textFill>
            <w14:solidFill>
              <w14:schemeClr w14:val="tx1"/>
            </w14:solidFill>
          </w14:textFill>
        </w:rPr>
        <w:t xml:space="preserve"> 权属情况。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left="0" w:firstLine="636" w:firstLineChars="200"/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改造范围内全部属国有建设用地13701.6平方米，土地用途为工业，改造涉及的土地已经确权、登记，不动产权证号为粤（2022）中山市不动产权第0089696号，为土地权利人中山市通用螺丝制造有限公司自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2001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月开始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投入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使用。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74" w:lineRule="exact"/>
        <w:ind w:left="0" w:firstLine="664" w:firstLineChars="200"/>
        <w:rPr>
          <w:rFonts w:ascii="楷体" w:hAnsi="楷体" w:eastAsia="楷体" w:cs="楷体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pacing w:val="11"/>
          <w:sz w:val="31"/>
          <w:szCs w:val="31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ascii="楷体" w:hAnsi="楷体" w:eastAsia="楷体" w:cs="楷体"/>
          <w:color w:val="000000" w:themeColor="text1"/>
          <w:spacing w:val="11"/>
          <w:sz w:val="31"/>
          <w:szCs w:val="31"/>
          <w:u w:val="none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" w:hAnsi="楷体" w:eastAsia="楷体" w:cs="楷体"/>
          <w:color w:val="000000" w:themeColor="text1"/>
          <w:spacing w:val="11"/>
          <w:sz w:val="31"/>
          <w:szCs w:val="31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ascii="楷体" w:hAnsi="楷体" w:eastAsia="楷体" w:cs="楷体"/>
          <w:color w:val="000000" w:themeColor="text1"/>
          <w:spacing w:val="11"/>
          <w:sz w:val="31"/>
          <w:szCs w:val="31"/>
          <w:u w:val="none"/>
          <w14:textFill>
            <w14:solidFill>
              <w14:schemeClr w14:val="tx1"/>
            </w14:solidFill>
          </w14:textFill>
        </w:rPr>
        <w:t xml:space="preserve"> 土地利用现状情况</w:t>
      </w:r>
      <w:r>
        <w:rPr>
          <w:rFonts w:ascii="楷体" w:hAnsi="楷体" w:eastAsia="楷体" w:cs="楷体"/>
          <w:color w:val="000000" w:themeColor="text1"/>
          <w:spacing w:val="8"/>
          <w:sz w:val="31"/>
          <w:szCs w:val="31"/>
          <w:u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left="0" w:right="0" w:firstLine="636" w:firstLineChars="200"/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改造主体地块现有2栋建筑物，为中山市通用螺丝制造有限公司自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2001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月开始使用。已按规定办理规划报建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施工和验收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等手续，现有建筑面积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3652.17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平方米，现状容积率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0.27，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作工业厂房所用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改造前年产值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约2000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万元，年税收为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约130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万元。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left="0" w:right="0" w:firstLine="636" w:firstLineChars="200"/>
        <w:rPr>
          <w:rFonts w:hint="default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改造地块不涉及闲置、抵押、历史文化要素情况。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74" w:lineRule="exact"/>
        <w:ind w:left="0" w:firstLine="700" w:firstLineChars="200"/>
        <w:rPr>
          <w:rFonts w:ascii="楷体" w:hAnsi="楷体" w:eastAsia="楷体" w:cs="楷体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pacing w:val="20"/>
          <w:sz w:val="31"/>
          <w:szCs w:val="31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ascii="楷体" w:hAnsi="楷体" w:eastAsia="楷体" w:cs="楷体"/>
          <w:color w:val="000000" w:themeColor="text1"/>
          <w:spacing w:val="16"/>
          <w:sz w:val="31"/>
          <w:szCs w:val="31"/>
          <w:u w:val="none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楷体" w:hAnsi="楷体" w:eastAsia="楷体" w:cs="楷体"/>
          <w:color w:val="000000" w:themeColor="text1"/>
          <w:spacing w:val="16"/>
          <w:sz w:val="31"/>
          <w:szCs w:val="31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ascii="楷体" w:hAnsi="楷体" w:eastAsia="楷体" w:cs="楷体"/>
          <w:color w:val="000000" w:themeColor="text1"/>
          <w:spacing w:val="16"/>
          <w:sz w:val="31"/>
          <w:szCs w:val="31"/>
          <w:u w:val="none"/>
          <w14:textFill>
            <w14:solidFill>
              <w14:schemeClr w14:val="tx1"/>
            </w14:solidFill>
          </w14:textFill>
        </w:rPr>
        <w:t xml:space="preserve"> 规划情况。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right="0" w:firstLine="636" w:firstLineChars="200"/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改造主体地块符合国土空间总体规划（土地利用总体规划）、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控制性详细规划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，已纳入市城市更新（“三旧”改造）专项规划。其中，在国土空间总体规划（土地利用总体规划）中，属城镇建设用地1.37公顷(13701.6平方米，折合约20.55亩）；控制性详细规划中，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项目范围内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一类工业用地1.2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公顷（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</w:rPr>
        <w:t>126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28.31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</w:rPr>
        <w:t>平方米，折合约18.9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</w:rPr>
        <w:t>亩），规划容积率1.0-3.5，建筑密度35-60，绿地率10-15，建筑高度≤50米（配套生产性服务设施高度≤100米），城市道路用地0.10公顷(1047.3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</w:rPr>
        <w:t>平方米，折合约1.57亩）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二类居住用地0.003公顷（25.98平方米，折合约0.04亩）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right="0" w:firstLine="636" w:firstLineChars="200"/>
        <w:rPr>
          <w:rFonts w:hint="default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改造地块不涉及永久基本农田、生态保护红线、城镇开发边界等管控要求。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74" w:lineRule="exact"/>
        <w:ind w:left="0" w:firstLine="604" w:firstLineChars="200"/>
        <w:rPr>
          <w:rFonts w:ascii="黑体" w:hAnsi="黑体" w:eastAsia="黑体" w:cs="黑体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pacing w:val="-4"/>
          <w:sz w:val="31"/>
          <w:szCs w:val="31"/>
          <w:u w:val="none"/>
          <w14:textFill>
            <w14:solidFill>
              <w14:schemeClr w14:val="tx1"/>
            </w14:solidFill>
          </w14:textFill>
        </w:rPr>
        <w:t>二、</w:t>
      </w:r>
      <w:r>
        <w:rPr>
          <w:rFonts w:ascii="黑体" w:hAnsi="黑体" w:eastAsia="黑体" w:cs="黑体"/>
          <w:color w:val="000000" w:themeColor="text1"/>
          <w:spacing w:val="-2"/>
          <w:sz w:val="31"/>
          <w:szCs w:val="31"/>
          <w:u w:val="none"/>
          <w14:textFill>
            <w14:solidFill>
              <w14:schemeClr w14:val="tx1"/>
            </w14:solidFill>
          </w14:textFill>
        </w:rPr>
        <w:t>改造意愿情况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right="0" w:firstLine="636" w:firstLineChars="200"/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改造范围涉及中山市通用螺丝制造有限公司1个权利主体，中山市人民政府石岐街道办事处已按照法律法规，就改造范围、土地现状、改造主体及拟改造情况等事项征询权利人改造意愿，经征询权利人，同意将涉及土地、房屋纳入改造范围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74" w:lineRule="exact"/>
        <w:ind w:left="0" w:firstLine="604" w:firstLineChars="200"/>
        <w:rPr>
          <w:rFonts w:ascii="黑体" w:hAnsi="黑体" w:eastAsia="黑体" w:cs="黑体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pacing w:val="-4"/>
          <w:sz w:val="31"/>
          <w:szCs w:val="31"/>
          <w:u w:val="none"/>
          <w14:textFill>
            <w14:solidFill>
              <w14:schemeClr w14:val="tx1"/>
            </w14:solidFill>
          </w14:textFill>
        </w:rPr>
        <w:t>三、</w:t>
      </w:r>
      <w:r>
        <w:rPr>
          <w:rFonts w:ascii="黑体" w:hAnsi="黑体" w:eastAsia="黑体" w:cs="黑体"/>
          <w:color w:val="000000" w:themeColor="text1"/>
          <w:spacing w:val="-3"/>
          <w:sz w:val="31"/>
          <w:szCs w:val="31"/>
          <w:u w:val="none"/>
          <w14:textFill>
            <w14:solidFill>
              <w14:schemeClr w14:val="tx1"/>
            </w14:solidFill>
          </w14:textFill>
        </w:rPr>
        <w:t>改</w:t>
      </w:r>
      <w:r>
        <w:rPr>
          <w:rFonts w:ascii="黑体" w:hAnsi="黑体" w:eastAsia="黑体" w:cs="黑体"/>
          <w:color w:val="000000" w:themeColor="text1"/>
          <w:spacing w:val="-2"/>
          <w:sz w:val="31"/>
          <w:szCs w:val="31"/>
          <w:u w:val="none"/>
          <w14:textFill>
            <w14:solidFill>
              <w14:schemeClr w14:val="tx1"/>
            </w14:solidFill>
          </w14:textFill>
        </w:rPr>
        <w:t>造主体及拟改造情况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left="0" w:leftChars="0" w:right="0" w:firstLine="636" w:firstLineChars="200"/>
        <w:rPr>
          <w:rFonts w:hint="default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根据有关规划要求，改造项目严格按照国土空间总体规划（土地利用总体规划）、控制性详细规划管控要求实施建设。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在详细规划中属道路和绿地等公益性用地部分，日后属地政府需按规划开发建设时，应无偿将用地交给属地政府使用。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right="0" w:firstLine="636" w:firstLineChars="200"/>
        <w:rPr>
          <w:rFonts w:hint="eastAsia" w:ascii="仿宋_GB2312" w:hAnsi="仿宋_GB2312" w:eastAsia="仿宋_GB2312" w:cs="仿宋_GB2312"/>
          <w:color w:val="0000FF"/>
          <w:spacing w:val="4"/>
          <w:sz w:val="31"/>
          <w:szCs w:val="31"/>
          <w:highlight w:val="yellow"/>
          <w:u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改造项目拟采取权利人自主改造方式，由中山市通用螺丝制造有限公司作为改造主体，实施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全面改造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。改造后将用于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制造业、新能源产业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、新轻产业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信息技术应用、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研发中心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等。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在符合详细规划的基础上，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</w:rPr>
        <w:t>容积率不小于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3.0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</w:rPr>
        <w:t>，总建筑面积不小于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41105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</w:rPr>
        <w:t>平方米（含不计容建筑面积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约5000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</w:rPr>
        <w:t>平方米），其中新建建筑面积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41105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</w:rPr>
        <w:t>平方米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left="0" w:right="0" w:firstLine="636" w:firstLineChars="200"/>
        <w:rPr>
          <w:rFonts w:ascii="仿宋" w:hAnsi="仿宋" w:eastAsia="仿宋" w:cs="仿宋"/>
          <w:color w:val="000000" w:themeColor="text1"/>
          <w:sz w:val="31"/>
          <w:szCs w:val="31"/>
          <w:highlight w:val="magenta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项目相关情况符合国家《产业结构调整指导目录》、《中山市差别化环保准入促进区域发展实施细则》、《中山市涉挥发性有机物项目环保准入管理规定》。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达产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</w:rPr>
        <w:t>后年产值将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不低于16408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</w:rPr>
        <w:t>万元，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亩均800万/年；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</w:rPr>
        <w:t>年税收将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不低于205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亩均10万/年</w:t>
      </w:r>
      <w:r>
        <w:rPr>
          <w:rFonts w:hint="eastAsia" w:ascii="仿宋_GB2312" w:hAnsi="仿宋_GB2312" w:eastAsia="仿宋_GB2312" w:cs="仿宋_GB2312"/>
          <w:color w:val="auto"/>
          <w:spacing w:val="4"/>
          <w:sz w:val="31"/>
          <w:szCs w:val="31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74" w:lineRule="exact"/>
        <w:ind w:left="0" w:firstLine="588" w:firstLineChars="200"/>
        <w:rPr>
          <w:rFonts w:ascii="黑体" w:hAnsi="黑体" w:eastAsia="黑体" w:cs="黑体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pacing w:val="-8"/>
          <w:sz w:val="31"/>
          <w:szCs w:val="31"/>
          <w:u w:val="none"/>
          <w14:textFill>
            <w14:solidFill>
              <w14:schemeClr w14:val="tx1"/>
            </w14:solidFill>
          </w14:textFill>
        </w:rPr>
        <w:t>四</w:t>
      </w:r>
      <w:r>
        <w:rPr>
          <w:rFonts w:ascii="黑体" w:hAnsi="黑体" w:eastAsia="黑体" w:cs="黑体"/>
          <w:color w:val="000000" w:themeColor="text1"/>
          <w:spacing w:val="-4"/>
          <w:sz w:val="31"/>
          <w:szCs w:val="31"/>
          <w:u w:val="none"/>
          <w14:textFill>
            <w14:solidFill>
              <w14:schemeClr w14:val="tx1"/>
            </w14:solidFill>
          </w14:textFill>
        </w:rPr>
        <w:t>、资金筹措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36" w:firstLineChars="200"/>
        <w:jc w:val="left"/>
        <w:textAlignment w:val="auto"/>
        <w:rPr>
          <w:rFonts w:hint="eastAsia"/>
          <w:strike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改造主体拟投入资金约1.3亿元，其中自有资金2000万元，银行借贷8000万元，社会融资3000万元。以上数据以最终实际发生为准。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left="0" w:firstLine="608" w:firstLineChars="200"/>
        <w:rPr>
          <w:rFonts w:ascii="黑体" w:hAnsi="黑体" w:eastAsia="黑体" w:cs="黑体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pacing w:val="-3"/>
          <w:sz w:val="31"/>
          <w:szCs w:val="31"/>
          <w:u w:val="none"/>
          <w14:textFill>
            <w14:solidFill>
              <w14:schemeClr w14:val="tx1"/>
            </w14:solidFill>
          </w14:textFill>
        </w:rPr>
        <w:t>五、开发时序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74" w:lineRule="exact"/>
        <w:ind w:left="0" w:firstLine="636" w:firstLineChars="200"/>
        <w:rPr>
          <w:rFonts w:hint="eastAsia" w:ascii="仿宋" w:hAnsi="仿宋" w:eastAsia="仿宋" w:cs="仿宋"/>
          <w:color w:val="000000" w:themeColor="text1"/>
          <w:spacing w:val="-26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拟分1期开发建设，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开发周期为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年，开发时间为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2023年9月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，拟投入资金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1.3亿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主要建设工业厂房及相应配套设施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74" w:lineRule="exact"/>
        <w:ind w:left="0" w:firstLine="596" w:firstLineChars="200"/>
        <w:rPr>
          <w:rFonts w:ascii="黑体" w:hAnsi="黑体" w:eastAsia="黑体" w:cs="黑体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pacing w:val="-6"/>
          <w:sz w:val="31"/>
          <w:szCs w:val="31"/>
          <w:u w:val="none"/>
          <w14:textFill>
            <w14:solidFill>
              <w14:schemeClr w14:val="tx1"/>
            </w14:solidFill>
          </w14:textFill>
        </w:rPr>
        <w:t>六</w:t>
      </w:r>
      <w:r>
        <w:rPr>
          <w:rFonts w:ascii="黑体" w:hAnsi="黑体" w:eastAsia="黑体" w:cs="黑体"/>
          <w:color w:val="000000" w:themeColor="text1"/>
          <w:spacing w:val="-4"/>
          <w:sz w:val="31"/>
          <w:szCs w:val="31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Fonts w:ascii="黑体" w:hAnsi="黑体" w:eastAsia="黑体" w:cs="黑体"/>
          <w:color w:val="000000" w:themeColor="text1"/>
          <w:spacing w:val="-3"/>
          <w:sz w:val="31"/>
          <w:szCs w:val="31"/>
          <w:u w:val="none"/>
          <w14:textFill>
            <w14:solidFill>
              <w14:schemeClr w14:val="tx1"/>
            </w14:solidFill>
          </w14:textFill>
        </w:rPr>
        <w:t>实施监管</w:t>
      </w:r>
    </w:p>
    <w:p>
      <w:pPr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line="574" w:lineRule="exact"/>
        <w:ind w:firstLine="636" w:firstLineChars="200"/>
        <w:jc w:val="left"/>
        <w:rPr>
          <w:rFonts w:hint="eastAsia" w:ascii="仿宋_GB2312" w:hAnsi="仿宋_GB2312" w:eastAsia="仿宋_GB2312" w:cs="仿宋_GB2312"/>
          <w:color w:val="000000" w:themeColor="text1"/>
          <w:spacing w:val="4"/>
          <w:kern w:val="0"/>
          <w:sz w:val="31"/>
          <w:szCs w:val="31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kern w:val="0"/>
          <w:sz w:val="31"/>
          <w:szCs w:val="31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项目拟改造情况（包含建设规模、投资强度、产值、税收等要求及引入的产业、环保、能耗等准入要求）和开发时序须在项目履约监管合同中明确，其中项目改造后引进产业需符合中山市产业导向，重点引进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制造业、新能源产业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、新轻产业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信息技术应用、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研发中心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kern w:val="0"/>
          <w:sz w:val="31"/>
          <w:szCs w:val="31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。具体开发时间、相关协议等以相关约定为准。</w:t>
      </w:r>
    </w:p>
    <w:p>
      <w:pPr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line="574" w:lineRule="exact"/>
        <w:jc w:val="left"/>
        <w:rPr>
          <w:rFonts w:hint="eastAsia" w:ascii="仿宋_GB2312" w:hAnsi="仿宋_GB2312" w:eastAsia="仿宋_GB2312" w:cs="仿宋_GB2312"/>
          <w:color w:val="000000" w:themeColor="text1"/>
          <w:spacing w:val="4"/>
          <w:kern w:val="0"/>
          <w:sz w:val="31"/>
          <w:szCs w:val="31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line="574" w:lineRule="exact"/>
        <w:ind w:firstLine="1590" w:firstLineChars="500"/>
        <w:jc w:val="left"/>
        <w:rPr>
          <w:rFonts w:hint="eastAsia" w:ascii="仿宋_GB2312" w:hAnsi="仿宋_GB2312" w:eastAsia="仿宋_GB2312" w:cs="仿宋_GB2312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16" w:h="16848"/>
      <w:pgMar w:top="1440" w:right="1800" w:bottom="1440" w:left="1800" w:header="227" w:footer="113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2291715</wp:posOffset>
              </wp:positionH>
              <wp:positionV relativeFrom="paragraph">
                <wp:posOffset>-596265</wp:posOffset>
              </wp:positionV>
              <wp:extent cx="1828800" cy="309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0.45pt;margin-top:-46.95pt;height:24.35pt;width:144pt;mso-position-horizontal-relative:margin;mso-wrap-style:none;z-index:251659264;mso-width-relative:page;mso-height-relative:page;" filled="f" stroked="f" coordsize="21600,21600" o:gfxdata="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lb7eDaAAAACwEAAA8AAAAAAAAAAQAgAAAAIgAAAGRycy9kb3du&#10;cmV2LnhtbFBLAQIUABQAAAAIAIdO4kBIfgeANgIAAGAEAAAOAAAAAAAAAAEAIAAAACk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ODBkMmE5MGRhYzA2NTgwM2U4YWRlYjQyYmJkYzEifQ=="/>
  </w:docVars>
  <w:rsids>
    <w:rsidRoot w:val="006A479E"/>
    <w:rsid w:val="00040986"/>
    <w:rsid w:val="00145DAE"/>
    <w:rsid w:val="001558D9"/>
    <w:rsid w:val="0019343A"/>
    <w:rsid w:val="0020450E"/>
    <w:rsid w:val="004657E4"/>
    <w:rsid w:val="004B21C7"/>
    <w:rsid w:val="005404DB"/>
    <w:rsid w:val="005A0FB6"/>
    <w:rsid w:val="00625178"/>
    <w:rsid w:val="006A479E"/>
    <w:rsid w:val="0073100C"/>
    <w:rsid w:val="007914BA"/>
    <w:rsid w:val="007C2184"/>
    <w:rsid w:val="008C5088"/>
    <w:rsid w:val="00957220"/>
    <w:rsid w:val="00BA3CDF"/>
    <w:rsid w:val="00BF7760"/>
    <w:rsid w:val="00CB18BB"/>
    <w:rsid w:val="00CC0325"/>
    <w:rsid w:val="00D2489B"/>
    <w:rsid w:val="00D94246"/>
    <w:rsid w:val="00F557F8"/>
    <w:rsid w:val="00FB6EDF"/>
    <w:rsid w:val="01325041"/>
    <w:rsid w:val="016A4161"/>
    <w:rsid w:val="022301F5"/>
    <w:rsid w:val="035678EA"/>
    <w:rsid w:val="041E2507"/>
    <w:rsid w:val="05723C7C"/>
    <w:rsid w:val="06485056"/>
    <w:rsid w:val="07856B14"/>
    <w:rsid w:val="088F29AF"/>
    <w:rsid w:val="097D251D"/>
    <w:rsid w:val="0A245182"/>
    <w:rsid w:val="0BB377CC"/>
    <w:rsid w:val="0C491737"/>
    <w:rsid w:val="0CC87A86"/>
    <w:rsid w:val="0CCF3326"/>
    <w:rsid w:val="0D154302"/>
    <w:rsid w:val="0D974E8F"/>
    <w:rsid w:val="0DB83F46"/>
    <w:rsid w:val="0DB8556E"/>
    <w:rsid w:val="0DD2055E"/>
    <w:rsid w:val="0E3C1B66"/>
    <w:rsid w:val="0E856E25"/>
    <w:rsid w:val="0EFE6307"/>
    <w:rsid w:val="0F7C5D76"/>
    <w:rsid w:val="100628C3"/>
    <w:rsid w:val="10401C27"/>
    <w:rsid w:val="11663423"/>
    <w:rsid w:val="11D65EFE"/>
    <w:rsid w:val="127669D8"/>
    <w:rsid w:val="12DB15A5"/>
    <w:rsid w:val="137F7BEF"/>
    <w:rsid w:val="147A050D"/>
    <w:rsid w:val="147B3C2A"/>
    <w:rsid w:val="161E7AD7"/>
    <w:rsid w:val="1788002A"/>
    <w:rsid w:val="1A2B5589"/>
    <w:rsid w:val="1B281F85"/>
    <w:rsid w:val="1C082388"/>
    <w:rsid w:val="1C3C24BA"/>
    <w:rsid w:val="1C962C76"/>
    <w:rsid w:val="1E7D76DA"/>
    <w:rsid w:val="1EEC608F"/>
    <w:rsid w:val="1F3A74F3"/>
    <w:rsid w:val="1FC93ACD"/>
    <w:rsid w:val="204F167E"/>
    <w:rsid w:val="20970C07"/>
    <w:rsid w:val="20C80CEF"/>
    <w:rsid w:val="20D81670"/>
    <w:rsid w:val="21E11287"/>
    <w:rsid w:val="232B1946"/>
    <w:rsid w:val="23443CE8"/>
    <w:rsid w:val="240D11B3"/>
    <w:rsid w:val="24B958C5"/>
    <w:rsid w:val="24C91DA9"/>
    <w:rsid w:val="25005442"/>
    <w:rsid w:val="25007ACF"/>
    <w:rsid w:val="254C7941"/>
    <w:rsid w:val="25FA7CAF"/>
    <w:rsid w:val="263141E3"/>
    <w:rsid w:val="27C04E47"/>
    <w:rsid w:val="27CE02D5"/>
    <w:rsid w:val="288817BE"/>
    <w:rsid w:val="28CC4373"/>
    <w:rsid w:val="28DA3E5B"/>
    <w:rsid w:val="29F828A2"/>
    <w:rsid w:val="2A0C4820"/>
    <w:rsid w:val="2B48310F"/>
    <w:rsid w:val="2C264CFB"/>
    <w:rsid w:val="2C906929"/>
    <w:rsid w:val="2D103CA1"/>
    <w:rsid w:val="2ED14854"/>
    <w:rsid w:val="2EDE5274"/>
    <w:rsid w:val="2F305F8A"/>
    <w:rsid w:val="2F364819"/>
    <w:rsid w:val="30275F10"/>
    <w:rsid w:val="30427FCF"/>
    <w:rsid w:val="30AD2B86"/>
    <w:rsid w:val="30E107B4"/>
    <w:rsid w:val="30F00157"/>
    <w:rsid w:val="32254CD1"/>
    <w:rsid w:val="325A4859"/>
    <w:rsid w:val="32E95D13"/>
    <w:rsid w:val="36F170FA"/>
    <w:rsid w:val="3733791C"/>
    <w:rsid w:val="374144A9"/>
    <w:rsid w:val="38140E50"/>
    <w:rsid w:val="393E5857"/>
    <w:rsid w:val="3A1B4320"/>
    <w:rsid w:val="3A250F74"/>
    <w:rsid w:val="3A730758"/>
    <w:rsid w:val="3A731F37"/>
    <w:rsid w:val="3A79517B"/>
    <w:rsid w:val="3A7D69BD"/>
    <w:rsid w:val="3A9348BE"/>
    <w:rsid w:val="3B7F24AA"/>
    <w:rsid w:val="3C0F49D9"/>
    <w:rsid w:val="3C791B79"/>
    <w:rsid w:val="3CC247B3"/>
    <w:rsid w:val="3D66443D"/>
    <w:rsid w:val="3E756C84"/>
    <w:rsid w:val="3EE6709F"/>
    <w:rsid w:val="40743EBA"/>
    <w:rsid w:val="4101455B"/>
    <w:rsid w:val="41256429"/>
    <w:rsid w:val="419E29B4"/>
    <w:rsid w:val="41B06152"/>
    <w:rsid w:val="42775F1B"/>
    <w:rsid w:val="42814751"/>
    <w:rsid w:val="4388655A"/>
    <w:rsid w:val="43993170"/>
    <w:rsid w:val="43AC6A00"/>
    <w:rsid w:val="43EA2579"/>
    <w:rsid w:val="44204C51"/>
    <w:rsid w:val="442A5561"/>
    <w:rsid w:val="44315157"/>
    <w:rsid w:val="463D4287"/>
    <w:rsid w:val="477D598D"/>
    <w:rsid w:val="4A094FB0"/>
    <w:rsid w:val="4A484FA8"/>
    <w:rsid w:val="4A7768F2"/>
    <w:rsid w:val="4ABA6297"/>
    <w:rsid w:val="4B7C51E4"/>
    <w:rsid w:val="4BB1381F"/>
    <w:rsid w:val="4BF379FB"/>
    <w:rsid w:val="4E614C59"/>
    <w:rsid w:val="4F321068"/>
    <w:rsid w:val="4F602A27"/>
    <w:rsid w:val="4FFD05E3"/>
    <w:rsid w:val="502C6097"/>
    <w:rsid w:val="502E69EF"/>
    <w:rsid w:val="51170698"/>
    <w:rsid w:val="51A71702"/>
    <w:rsid w:val="52A15B9E"/>
    <w:rsid w:val="530B240E"/>
    <w:rsid w:val="54047DE6"/>
    <w:rsid w:val="558B6968"/>
    <w:rsid w:val="575F1D66"/>
    <w:rsid w:val="58B137A9"/>
    <w:rsid w:val="59301A29"/>
    <w:rsid w:val="59646F03"/>
    <w:rsid w:val="5A12178A"/>
    <w:rsid w:val="5AFC6985"/>
    <w:rsid w:val="5B9C6858"/>
    <w:rsid w:val="5C602D32"/>
    <w:rsid w:val="5C7F65A3"/>
    <w:rsid w:val="5D142BC1"/>
    <w:rsid w:val="5DB06C95"/>
    <w:rsid w:val="5DE36428"/>
    <w:rsid w:val="5E435FA8"/>
    <w:rsid w:val="5EAC05BF"/>
    <w:rsid w:val="5EBF3633"/>
    <w:rsid w:val="5EF15E41"/>
    <w:rsid w:val="5F0A3E4D"/>
    <w:rsid w:val="5F8F32D6"/>
    <w:rsid w:val="5FB76A00"/>
    <w:rsid w:val="61227270"/>
    <w:rsid w:val="625300FD"/>
    <w:rsid w:val="6280132C"/>
    <w:rsid w:val="630C0C8E"/>
    <w:rsid w:val="630C655C"/>
    <w:rsid w:val="64A166FA"/>
    <w:rsid w:val="64C86FBA"/>
    <w:rsid w:val="64F5507D"/>
    <w:rsid w:val="653B6D24"/>
    <w:rsid w:val="6586237C"/>
    <w:rsid w:val="66422206"/>
    <w:rsid w:val="668F5FE1"/>
    <w:rsid w:val="66B27EF6"/>
    <w:rsid w:val="66CC2D91"/>
    <w:rsid w:val="673426E5"/>
    <w:rsid w:val="67F2631F"/>
    <w:rsid w:val="68C5626C"/>
    <w:rsid w:val="69FE0764"/>
    <w:rsid w:val="6BFE0EC0"/>
    <w:rsid w:val="6C524A63"/>
    <w:rsid w:val="6D342338"/>
    <w:rsid w:val="6D874340"/>
    <w:rsid w:val="6DEC001B"/>
    <w:rsid w:val="6DFD57E6"/>
    <w:rsid w:val="6E5B1D9A"/>
    <w:rsid w:val="6ED36561"/>
    <w:rsid w:val="6F082DA4"/>
    <w:rsid w:val="6FAC3933"/>
    <w:rsid w:val="706246EE"/>
    <w:rsid w:val="71162ABA"/>
    <w:rsid w:val="719B00D6"/>
    <w:rsid w:val="71A26D11"/>
    <w:rsid w:val="73DB10C1"/>
    <w:rsid w:val="73DE76F1"/>
    <w:rsid w:val="73E82D35"/>
    <w:rsid w:val="741649FB"/>
    <w:rsid w:val="746E4293"/>
    <w:rsid w:val="74933EC8"/>
    <w:rsid w:val="74C5141F"/>
    <w:rsid w:val="75055A8C"/>
    <w:rsid w:val="7546457C"/>
    <w:rsid w:val="75E81754"/>
    <w:rsid w:val="767173B7"/>
    <w:rsid w:val="76994BBA"/>
    <w:rsid w:val="773C3B26"/>
    <w:rsid w:val="77FC1EE6"/>
    <w:rsid w:val="78271E31"/>
    <w:rsid w:val="782A7532"/>
    <w:rsid w:val="785206F6"/>
    <w:rsid w:val="791B013F"/>
    <w:rsid w:val="7A1B52AB"/>
    <w:rsid w:val="7B4F0974"/>
    <w:rsid w:val="7B6C46EB"/>
    <w:rsid w:val="7B70506D"/>
    <w:rsid w:val="7BDD1145"/>
    <w:rsid w:val="7D812E2A"/>
    <w:rsid w:val="7DD93F05"/>
    <w:rsid w:val="7DF34AAF"/>
    <w:rsid w:val="7FA9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4">
    <w:name w:val="heading 4"/>
    <w:basedOn w:val="1"/>
    <w:next w:val="1"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08" w:firstLineChars="225"/>
    </w:pPr>
    <w:rPr>
      <w:rFonts w:ascii="宋体" w:hAnsi="宋体"/>
      <w:sz w:val="24"/>
    </w:rPr>
  </w:style>
  <w:style w:type="paragraph" w:styleId="5">
    <w:name w:val="annotation text"/>
    <w:basedOn w:val="1"/>
    <w:qFormat/>
    <w:uiPriority w:val="0"/>
    <w:rPr>
      <w:rFonts w:ascii="Arial" w:hAnsi="Arial" w:eastAsiaTheme="minorEastAsia"/>
      <w:b/>
      <w:sz w:val="28"/>
    </w:rPr>
  </w:style>
  <w:style w:type="paragraph" w:styleId="6">
    <w:name w:val="Balloon Text"/>
    <w:basedOn w:val="1"/>
    <w:link w:val="13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批注框文本 Char"/>
    <w:basedOn w:val="10"/>
    <w:link w:val="6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1353</Words>
  <Characters>1515</Characters>
  <Lines>13</Lines>
  <Paragraphs>3</Paragraphs>
  <TotalTime>5</TotalTime>
  <ScaleCrop>false</ScaleCrop>
  <LinksUpToDate>false</LinksUpToDate>
  <CharactersWithSpaces>1534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2022-08-15T17:22:00Z</dcterms:created>
  <dc:creator>user_common</dc:creator>
  <cp:lastModifiedBy>童妙</cp:lastModifiedBy>
  <cp:lastPrinted>2023-04-18T08:15:00Z</cp:lastPrinted>
  <dcterms:modified xsi:type="dcterms:W3CDTF">2023-05-19T08:13:37Z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2022-08-16T15:47:36Z</vt:filetime>
  </property>
  <property fmtid="{D5CDD505-2E9C-101B-9397-08002B2CF9AE}" pid="4" name="KSOProductBuildVer">
    <vt:lpwstr>2052-11.8.2.11718</vt:lpwstr>
  </property>
  <property fmtid="{D5CDD505-2E9C-101B-9397-08002B2CF9AE}" pid="5" name="ICV">
    <vt:lpwstr>1FABD690296E494AA03ED5C4E3852333_13</vt:lpwstr>
  </property>
</Properties>
</file>