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rPr>
        <w:t>中山市石岐街道2023年度SQ14</w:t>
      </w:r>
      <w:r>
        <w:rPr>
          <w:rFonts w:hint="eastAsia" w:ascii="微软简标宋" w:hAnsi="微软简标宋" w:eastAsia="微软简标宋" w:cs="微软简标宋"/>
          <w:b w:val="0"/>
          <w:bCs w:val="0"/>
          <w:sz w:val="44"/>
          <w:szCs w:val="44"/>
          <w:lang w:val="en-US" w:eastAsia="zh-CN"/>
        </w:rPr>
        <w:t>-</w:t>
      </w:r>
      <w:r>
        <w:rPr>
          <w:rFonts w:hint="eastAsia" w:ascii="微软简标宋" w:hAnsi="微软简标宋" w:eastAsia="微软简标宋" w:cs="微软简标宋"/>
          <w:b w:val="0"/>
          <w:bCs w:val="0"/>
          <w:sz w:val="44"/>
          <w:szCs w:val="44"/>
        </w:rPr>
        <w:t>SQ17地块土地征收成片开发方案</w:t>
      </w:r>
    </w:p>
    <w:p>
      <w:pPr>
        <w:spacing w:line="360" w:lineRule="auto"/>
        <w:jc w:val="center"/>
        <w:rPr>
          <w:rFonts w:eastAsia="仿宋_GB2312"/>
          <w:b/>
          <w:bCs/>
          <w:sz w:val="28"/>
          <w:szCs w:val="28"/>
        </w:rPr>
      </w:pPr>
      <w:r>
        <w:rPr>
          <w:rFonts w:eastAsia="仿宋_GB2312"/>
          <w:b/>
          <w:bCs/>
          <w:sz w:val="28"/>
          <w:szCs w:val="28"/>
        </w:rPr>
        <w:t>（公示草案）</w:t>
      </w:r>
    </w:p>
    <w:p>
      <w:pPr>
        <w:pStyle w:val="2"/>
      </w:pPr>
    </w:p>
    <w:p>
      <w:pPr>
        <w:keepNext w:val="0"/>
        <w:keepLines w:val="0"/>
        <w:pageBreakBefore w:val="0"/>
        <w:widowControl w:val="0"/>
        <w:kinsoku/>
        <w:wordWrap/>
        <w:overflowPunct/>
        <w:topLinePunct w:val="0"/>
        <w:bidi w:val="0"/>
        <w:snapToGrid w:val="0"/>
        <w:spacing w:line="336" w:lineRule="auto"/>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一、编制依据</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据《中华人民共和国土地管理法》（2019年修正）、《自然资源部关于印发&lt;土地征收成片开发标准（试行）&gt;的通知》（自然资规〔2020〕5号）以及《广东省自然资源厅关于规范土地征收成片开发工作的通知》（粤自然资发〔2021〕20号）等相关文件，编制《中山市石岐街道2023年度SQ14~SQ17地块土地征收成片开发方案》。</w:t>
      </w:r>
    </w:p>
    <w:p>
      <w:pPr>
        <w:keepNext w:val="0"/>
        <w:keepLines w:val="0"/>
        <w:pageBreakBefore w:val="0"/>
        <w:widowControl w:val="0"/>
        <w:kinsoku/>
        <w:wordWrap/>
        <w:overflowPunct/>
        <w:topLinePunct w:val="0"/>
        <w:bidi w:val="0"/>
        <w:snapToGrid w:val="0"/>
        <w:spacing w:line="336" w:lineRule="auto"/>
        <w:ind w:firstLine="640" w:firstLineChars="200"/>
        <w:textAlignment w:val="auto"/>
        <w:outlineLvl w:val="1"/>
        <w:rPr>
          <w:rFonts w:hint="default" w:ascii="黑体" w:hAnsi="黑体" w:eastAsia="黑体" w:cs="黑体"/>
          <w:b w:val="0"/>
          <w:bCs w:val="0"/>
          <w:sz w:val="32"/>
          <w:szCs w:val="32"/>
        </w:rPr>
      </w:pPr>
      <w:r>
        <w:rPr>
          <w:rFonts w:hint="default" w:ascii="黑体" w:hAnsi="黑体" w:eastAsia="黑体" w:cs="黑体"/>
          <w:b w:val="0"/>
          <w:bCs w:val="0"/>
          <w:sz w:val="32"/>
          <w:szCs w:val="32"/>
        </w:rPr>
        <w:t>二、基本情况</w:t>
      </w:r>
    </w:p>
    <w:p>
      <w:pPr>
        <w:keepNext w:val="0"/>
        <w:keepLines w:val="0"/>
        <w:pageBreakBefore w:val="0"/>
        <w:widowControl w:val="0"/>
        <w:kinsoku/>
        <w:wordWrap/>
        <w:overflowPunct/>
        <w:topLinePunct w:val="0"/>
        <w:bidi w:val="0"/>
        <w:snapToGrid w:val="0"/>
        <w:spacing w:line="336"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本次成片开发范围共包含4个成片开发地块，面积共</w:t>
      </w:r>
      <w:r>
        <w:rPr>
          <w:rFonts w:hint="default" w:ascii="Times New Roman" w:hAnsi="Times New Roman" w:eastAsia="仿宋_GB2312" w:cs="Times New Roman"/>
          <w:b w:val="0"/>
          <w:bCs w:val="0"/>
          <w:sz w:val="32"/>
          <w:szCs w:val="32"/>
          <w:lang w:eastAsia="zh-CN"/>
        </w:rPr>
        <w:t>18.2418</w:t>
      </w:r>
      <w:r>
        <w:rPr>
          <w:rFonts w:hint="default" w:ascii="Times New Roman" w:hAnsi="Times New Roman" w:eastAsia="仿宋_GB2312" w:cs="Times New Roman"/>
          <w:b w:val="0"/>
          <w:bCs w:val="0"/>
          <w:sz w:val="32"/>
          <w:szCs w:val="32"/>
        </w:rPr>
        <w:t>公顷，位于莲员社区、康华社区、</w:t>
      </w:r>
      <w:r>
        <w:rPr>
          <w:rFonts w:hint="eastAsia" w:eastAsia="仿宋_GB2312" w:cs="Times New Roman"/>
          <w:b w:val="0"/>
          <w:bCs w:val="0"/>
          <w:sz w:val="32"/>
          <w:szCs w:val="32"/>
          <w:lang w:eastAsia="zh-CN"/>
        </w:rPr>
        <w:t>大信</w:t>
      </w:r>
      <w:r>
        <w:rPr>
          <w:rFonts w:hint="default" w:ascii="Times New Roman" w:hAnsi="Times New Roman" w:eastAsia="仿宋_GB2312" w:cs="Times New Roman"/>
          <w:b w:val="0"/>
          <w:bCs w:val="0"/>
          <w:sz w:val="32"/>
          <w:szCs w:val="32"/>
        </w:rPr>
        <w:t>社区。详细信息见下表。</w:t>
      </w:r>
    </w:p>
    <w:p>
      <w:pPr>
        <w:ind w:firstLine="482" w:firstLineChars="200"/>
        <w:jc w:val="center"/>
        <w:rPr>
          <w:rFonts w:eastAsia="仿宋_GB2312"/>
          <w:b/>
          <w:bCs/>
          <w:sz w:val="24"/>
        </w:rPr>
      </w:pPr>
      <w:r>
        <w:rPr>
          <w:rFonts w:eastAsia="仿宋_GB2312"/>
          <w:b/>
          <w:bCs/>
          <w:sz w:val="24"/>
        </w:rPr>
        <w:t>表1  成片开发区域详细信息一览表</w:t>
      </w:r>
    </w:p>
    <w:p>
      <w:pPr>
        <w:pStyle w:val="3"/>
        <w:spacing w:before="0" w:after="0" w:line="240" w:lineRule="atLeast"/>
        <w:jc w:val="right"/>
        <w:rPr>
          <w:rFonts w:eastAsia="仿宋_GB2312"/>
          <w:b w:val="0"/>
          <w:bCs w:val="0"/>
          <w:kern w:val="2"/>
          <w:sz w:val="24"/>
          <w:szCs w:val="24"/>
        </w:rPr>
      </w:pPr>
      <w:r>
        <w:rPr>
          <w:rFonts w:hint="eastAsia" w:eastAsia="仿宋_GB2312"/>
          <w:b w:val="0"/>
          <w:bCs w:val="0"/>
          <w:kern w:val="2"/>
          <w:sz w:val="24"/>
          <w:szCs w:val="24"/>
        </w:rPr>
        <w:t>单位：公顷</w:t>
      </w:r>
    </w:p>
    <w:tbl>
      <w:tblPr>
        <w:tblStyle w:val="12"/>
        <w:tblW w:w="5009" w:type="pct"/>
        <w:tblInd w:w="0" w:type="dxa"/>
        <w:tblLayout w:type="fixed"/>
        <w:tblCellMar>
          <w:top w:w="0" w:type="dxa"/>
          <w:left w:w="108" w:type="dxa"/>
          <w:bottom w:w="0" w:type="dxa"/>
          <w:right w:w="108" w:type="dxa"/>
        </w:tblCellMar>
      </w:tblPr>
      <w:tblGrid>
        <w:gridCol w:w="1407"/>
        <w:gridCol w:w="2017"/>
        <w:gridCol w:w="4323"/>
        <w:gridCol w:w="1330"/>
      </w:tblGrid>
      <w:tr>
        <w:tblPrEx>
          <w:tblCellMar>
            <w:top w:w="0" w:type="dxa"/>
            <w:left w:w="108" w:type="dxa"/>
            <w:bottom w:w="0" w:type="dxa"/>
            <w:right w:w="108" w:type="dxa"/>
          </w:tblCellMar>
        </w:tblPrEx>
        <w:trPr>
          <w:trHeight w:val="61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地块编号</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 xml:space="preserve"> 位置</w:t>
            </w:r>
          </w:p>
        </w:tc>
        <w:tc>
          <w:tcPr>
            <w:tcW w:w="2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地块名称</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地块面积</w:t>
            </w:r>
          </w:p>
        </w:tc>
      </w:tr>
      <w:tr>
        <w:tblPrEx>
          <w:tblCellMar>
            <w:top w:w="0" w:type="dxa"/>
            <w:left w:w="108" w:type="dxa"/>
            <w:bottom w:w="0" w:type="dxa"/>
            <w:right w:w="108" w:type="dxa"/>
          </w:tblCellMar>
        </w:tblPrEx>
        <w:trPr>
          <w:trHeight w:val="628"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SQ14</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szCs w:val="21"/>
              </w:rPr>
              <w:t>莲员社区</w:t>
            </w:r>
          </w:p>
        </w:tc>
        <w:tc>
          <w:tcPr>
            <w:tcW w:w="2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Cs w:val="21"/>
                <w:lang w:bidi="ar"/>
              </w:rPr>
              <w:t>岐港片区</w:t>
            </w:r>
            <w:r>
              <w:rPr>
                <w:rFonts w:hint="eastAsia"/>
                <w:color w:val="000000"/>
                <w:kern w:val="0"/>
                <w:szCs w:val="21"/>
                <w:lang w:bidi="ar"/>
              </w:rPr>
              <w:t>D</w:t>
            </w:r>
            <w:r>
              <w:rPr>
                <w:rFonts w:hint="eastAsia" w:ascii="仿宋_GB2312" w:hAnsi="宋体" w:eastAsia="仿宋_GB2312" w:cs="仿宋_GB2312"/>
                <w:color w:val="000000"/>
                <w:kern w:val="0"/>
                <w:szCs w:val="21"/>
                <w:lang w:bidi="ar"/>
              </w:rPr>
              <w:t>地块</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color w:val="000000"/>
                <w:kern w:val="0"/>
                <w:szCs w:val="21"/>
                <w:lang w:eastAsia="zh-CN" w:bidi="ar"/>
              </w:rPr>
              <w:t>7.2136</w:t>
            </w:r>
            <w:r>
              <w:rPr>
                <w:color w:val="000000"/>
                <w:kern w:val="0"/>
                <w:szCs w:val="21"/>
                <w:lang w:bidi="ar"/>
              </w:rPr>
              <w:t xml:space="preserve"> </w:t>
            </w:r>
          </w:p>
        </w:tc>
      </w:tr>
      <w:tr>
        <w:tblPrEx>
          <w:tblCellMar>
            <w:top w:w="0" w:type="dxa"/>
            <w:left w:w="108" w:type="dxa"/>
            <w:bottom w:w="0" w:type="dxa"/>
            <w:right w:w="108" w:type="dxa"/>
          </w:tblCellMar>
        </w:tblPrEx>
        <w:trPr>
          <w:trHeight w:val="64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SQ15</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szCs w:val="21"/>
              </w:rPr>
              <w:t>莲员社区</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ascii="仿宋_GB2312" w:hAnsi="宋体" w:eastAsia="仿宋_GB2312" w:cs="仿宋_GB2312"/>
                <w:color w:val="000000"/>
                <w:kern w:val="0"/>
                <w:szCs w:val="21"/>
                <w:lang w:bidi="ar"/>
              </w:rPr>
              <w:t>岐港片区</w:t>
            </w:r>
            <w:r>
              <w:rPr>
                <w:color w:val="000000"/>
                <w:kern w:val="0"/>
                <w:szCs w:val="21"/>
                <w:lang w:bidi="ar"/>
              </w:rPr>
              <w:t>E</w:t>
            </w:r>
            <w:r>
              <w:rPr>
                <w:rFonts w:ascii="仿宋_GB2312" w:hAnsi="宋体" w:eastAsia="仿宋_GB2312" w:cs="仿宋_GB2312"/>
                <w:color w:val="000000"/>
                <w:kern w:val="0"/>
                <w:szCs w:val="21"/>
                <w:lang w:bidi="ar"/>
              </w:rPr>
              <w:t>地块</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color w:val="000000"/>
                <w:kern w:val="0"/>
                <w:szCs w:val="21"/>
                <w:lang w:bidi="ar"/>
              </w:rPr>
              <w:t>5.8219</w:t>
            </w:r>
          </w:p>
        </w:tc>
      </w:tr>
      <w:tr>
        <w:tblPrEx>
          <w:tblCellMar>
            <w:top w:w="0" w:type="dxa"/>
            <w:left w:w="108" w:type="dxa"/>
            <w:bottom w:w="0" w:type="dxa"/>
            <w:right w:w="108" w:type="dxa"/>
          </w:tblCellMar>
        </w:tblPrEx>
        <w:trPr>
          <w:trHeight w:val="568"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SQ16</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szCs w:val="21"/>
              </w:rPr>
              <w:t>康华社区</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kern w:val="0"/>
                <w:szCs w:val="21"/>
                <w:lang w:bidi="ar"/>
              </w:rPr>
              <w:t>石岐街道文旅项目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color w:val="000000"/>
                <w:kern w:val="0"/>
                <w:szCs w:val="21"/>
                <w:lang w:bidi="ar"/>
              </w:rPr>
              <w:t>0.4053</w:t>
            </w:r>
          </w:p>
        </w:tc>
      </w:tr>
      <w:tr>
        <w:tblPrEx>
          <w:tblCellMar>
            <w:top w:w="0" w:type="dxa"/>
            <w:left w:w="108" w:type="dxa"/>
            <w:bottom w:w="0" w:type="dxa"/>
            <w:right w:w="108" w:type="dxa"/>
          </w:tblCellMar>
        </w:tblPrEx>
        <w:trPr>
          <w:trHeight w:val="642"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SQ17</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szCs w:val="21"/>
                <w:lang w:eastAsia="zh-CN"/>
              </w:rPr>
              <w:t>大信</w:t>
            </w:r>
            <w:bookmarkStart w:id="6" w:name="_GoBack"/>
            <w:bookmarkEnd w:id="6"/>
            <w:r>
              <w:rPr>
                <w:rFonts w:hint="eastAsia" w:ascii="仿宋_GB2312" w:hAnsi="宋体" w:eastAsia="仿宋_GB2312" w:cs="仿宋_GB2312"/>
                <w:color w:val="000000"/>
                <w:szCs w:val="21"/>
              </w:rPr>
              <w:t>社区</w:t>
            </w:r>
          </w:p>
        </w:tc>
        <w:tc>
          <w:tcPr>
            <w:tcW w:w="4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宋体" w:eastAsia="仿宋_GB2312" w:cs="仿宋_GB2312"/>
                <w:color w:val="000000"/>
                <w:szCs w:val="21"/>
              </w:rPr>
              <w:t>岐江新城石岐总部经济区地块-1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color w:val="000000"/>
                <w:kern w:val="0"/>
                <w:szCs w:val="21"/>
                <w:lang w:bidi="ar"/>
              </w:rPr>
              <w:t>4.8010</w:t>
            </w:r>
          </w:p>
        </w:tc>
      </w:tr>
      <w:tr>
        <w:tblPrEx>
          <w:tblCellMar>
            <w:top w:w="0" w:type="dxa"/>
            <w:left w:w="108" w:type="dxa"/>
            <w:bottom w:w="0" w:type="dxa"/>
            <w:right w:w="108" w:type="dxa"/>
          </w:tblCellMar>
        </w:tblPrEx>
        <w:trPr>
          <w:trHeight w:val="497" w:hRule="atLeast"/>
        </w:trPr>
        <w:tc>
          <w:tcPr>
            <w:tcW w:w="42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2"/>
                <w:szCs w:val="22"/>
              </w:rPr>
            </w:pPr>
            <w:r>
              <w:rPr>
                <w:rFonts w:hint="eastAsia" w:ascii="仿宋_GB2312" w:hAnsi="仿宋_GB2312" w:eastAsia="仿宋_GB2312" w:cs="仿宋_GB2312"/>
                <w:b/>
                <w:bCs/>
                <w:kern w:val="0"/>
                <w:sz w:val="22"/>
                <w:szCs w:val="22"/>
                <w:lang w:bidi="ar"/>
              </w:rPr>
              <w:t>合计</w:t>
            </w:r>
          </w:p>
        </w:tc>
        <w:tc>
          <w:tcPr>
            <w:tcW w:w="7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sz w:val="22"/>
                <w:szCs w:val="22"/>
                <w:lang w:eastAsia="zh-CN"/>
              </w:rPr>
            </w:pPr>
            <w:r>
              <w:rPr>
                <w:rFonts w:hint="eastAsia" w:ascii="仿宋_GB2312" w:hAnsi="宋体" w:eastAsia="仿宋_GB2312" w:cs="仿宋_GB2312"/>
                <w:b/>
                <w:bCs/>
                <w:color w:val="000000"/>
                <w:szCs w:val="21"/>
                <w:lang w:eastAsia="zh-CN"/>
              </w:rPr>
              <w:t>18.2418</w:t>
            </w:r>
          </w:p>
        </w:tc>
      </w:tr>
    </w:tbl>
    <w:p>
      <w:pPr>
        <w:keepNext w:val="0"/>
        <w:keepLines w:val="0"/>
        <w:pageBreakBefore w:val="0"/>
        <w:widowControl w:val="0"/>
        <w:kinsoku/>
        <w:wordWrap/>
        <w:overflowPunct/>
        <w:topLinePunct w:val="0"/>
        <w:bidi w:val="0"/>
        <w:snapToGrid w:val="0"/>
        <w:spacing w:line="336" w:lineRule="auto"/>
        <w:ind w:firstLine="640" w:firstLineChars="200"/>
        <w:textAlignment w:val="auto"/>
        <w:outlineLvl w:val="1"/>
        <w:rPr>
          <w:rFonts w:hint="default" w:ascii="黑体" w:hAnsi="黑体" w:eastAsia="黑体" w:cs="黑体"/>
          <w:b w:val="0"/>
          <w:bCs w:val="0"/>
          <w:sz w:val="32"/>
          <w:szCs w:val="32"/>
        </w:rPr>
      </w:pPr>
      <w:r>
        <w:rPr>
          <w:rFonts w:hint="default" w:ascii="黑体" w:hAnsi="黑体" w:eastAsia="黑体" w:cs="黑体"/>
          <w:b w:val="0"/>
          <w:bCs w:val="0"/>
          <w:sz w:val="32"/>
          <w:szCs w:val="32"/>
        </w:rPr>
        <w:t>三、成片开发条件分析</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（一）必要性分析</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成片开发是落实中山市国民经济和社会发展第十四个五年规划定位的需要，是推进区域开发建设的需要，是保障重点项目建设，是优化城镇功能布局，是提升土地利用效益的需要，是完善区域公共配套设施与基础设施建设的需要。</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（二）合规性分析</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片开发拟征收地块不涉及占用永久基本农田和生态保护红线，片区内公益性用地比例在40%以上。本次土地征收成片开发方案符合中山市国民经济和社会发展规划、城乡规划和专项规划，做到了节约集约用地、保护生态环境，能够促进经济社会可持续发展。</w:t>
      </w:r>
    </w:p>
    <w:p>
      <w:pPr>
        <w:keepNext w:val="0"/>
        <w:keepLines w:val="0"/>
        <w:pageBreakBefore w:val="0"/>
        <w:widowControl w:val="0"/>
        <w:kinsoku/>
        <w:wordWrap/>
        <w:overflowPunct/>
        <w:topLinePunct w:val="0"/>
        <w:bidi w:val="0"/>
        <w:snapToGrid w:val="0"/>
        <w:spacing w:line="336" w:lineRule="auto"/>
        <w:ind w:firstLine="640" w:firstLineChars="200"/>
        <w:textAlignment w:val="auto"/>
        <w:outlineLvl w:val="1"/>
        <w:rPr>
          <w:rFonts w:hint="default" w:ascii="黑体" w:hAnsi="黑体" w:eastAsia="黑体" w:cs="黑体"/>
          <w:b w:val="0"/>
          <w:bCs w:val="0"/>
          <w:sz w:val="32"/>
          <w:szCs w:val="32"/>
        </w:rPr>
      </w:pPr>
      <w:r>
        <w:rPr>
          <w:rFonts w:hint="default" w:ascii="黑体" w:hAnsi="黑体" w:eastAsia="黑体" w:cs="黑体"/>
          <w:b w:val="0"/>
          <w:bCs w:val="0"/>
          <w:sz w:val="32"/>
          <w:szCs w:val="32"/>
        </w:rPr>
        <w:t>四、拟安排项目及实施计划</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本方案由4个地块组成，总面积为</w:t>
      </w:r>
      <w:r>
        <w:rPr>
          <w:rFonts w:hint="default" w:ascii="Times New Roman" w:hAnsi="Times New Roman" w:eastAsia="仿宋_GB2312" w:cs="Times New Roman"/>
          <w:sz w:val="32"/>
          <w:szCs w:val="32"/>
          <w:lang w:eastAsia="zh-CN"/>
        </w:rPr>
        <w:t>18.2418</w:t>
      </w:r>
      <w:r>
        <w:rPr>
          <w:rFonts w:hint="default" w:ascii="Times New Roman" w:hAnsi="Times New Roman" w:eastAsia="仿宋_GB2312" w:cs="Times New Roman"/>
          <w:sz w:val="32"/>
          <w:szCs w:val="32"/>
        </w:rPr>
        <w:t>公顷。结合规划建设计划、被征地单位意愿、征地资金情况、土地审批信息情况等因素，综合分析论证后制定拟建项目开发时序为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~2025年）。</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ind w:firstLine="482" w:firstLineChars="200"/>
        <w:jc w:val="center"/>
        <w:rPr>
          <w:rFonts w:eastAsia="仿宋_GB2312"/>
          <w:b/>
          <w:bCs/>
          <w:sz w:val="24"/>
        </w:rPr>
      </w:pPr>
      <w:r>
        <w:rPr>
          <w:rFonts w:eastAsia="仿宋_GB2312"/>
          <w:b/>
          <w:bCs/>
          <w:sz w:val="24"/>
        </w:rPr>
        <w:t>表2  成片开发项目一览表</w:t>
      </w:r>
    </w:p>
    <w:p>
      <w:pPr>
        <w:pStyle w:val="3"/>
        <w:spacing w:before="0" w:after="0" w:line="240" w:lineRule="atLeast"/>
        <w:jc w:val="right"/>
        <w:rPr>
          <w:b w:val="0"/>
          <w:bCs w:val="0"/>
        </w:rPr>
      </w:pPr>
      <w:r>
        <w:rPr>
          <w:rFonts w:hint="eastAsia" w:eastAsia="仿宋_GB2312"/>
          <w:b w:val="0"/>
          <w:bCs w:val="0"/>
          <w:kern w:val="2"/>
          <w:sz w:val="24"/>
          <w:szCs w:val="24"/>
        </w:rPr>
        <w:t>单位：公顷</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2116"/>
        <w:gridCol w:w="1823"/>
        <w:gridCol w:w="264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trPr>
        <w:tc>
          <w:tcPr>
            <w:tcW w:w="683"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成片开发地块编号</w:t>
            </w:r>
          </w:p>
        </w:tc>
        <w:tc>
          <w:tcPr>
            <w:tcW w:w="1168"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kern w:val="0"/>
                <w:sz w:val="22"/>
                <w:szCs w:val="22"/>
                <w:lang w:bidi="ar"/>
              </w:rPr>
              <w:t>成片开发地块</w:t>
            </w:r>
            <w:r>
              <w:rPr>
                <w:rFonts w:hint="eastAsia" w:ascii="仿宋_GB2312" w:hAnsi="仿宋_GB2312" w:eastAsia="仿宋_GB2312" w:cs="仿宋_GB2312"/>
                <w:b/>
                <w:bCs/>
                <w:kern w:val="0"/>
                <w:sz w:val="22"/>
                <w:szCs w:val="22"/>
              </w:rPr>
              <w:t>名称</w:t>
            </w:r>
          </w:p>
        </w:tc>
        <w:tc>
          <w:tcPr>
            <w:tcW w:w="1006"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成片开发地块面积</w:t>
            </w:r>
          </w:p>
        </w:tc>
        <w:tc>
          <w:tcPr>
            <w:tcW w:w="1462"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主要用途</w:t>
            </w:r>
          </w:p>
        </w:tc>
        <w:tc>
          <w:tcPr>
            <w:tcW w:w="679"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取得批文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83" w:type="pct"/>
            <w:vAlign w:val="center"/>
          </w:tcPr>
          <w:p>
            <w:pPr>
              <w:widowControl/>
              <w:jc w:val="center"/>
              <w:textAlignment w:val="center"/>
              <w:rPr>
                <w:rFonts w:eastAsia="仿宋"/>
                <w:kern w:val="0"/>
                <w:sz w:val="24"/>
              </w:rPr>
            </w:pPr>
            <w:r>
              <w:rPr>
                <w:rFonts w:hint="eastAsia" w:ascii="仿宋_GB2312" w:hAnsi="宋体" w:eastAsia="仿宋_GB2312" w:cs="仿宋_GB2312"/>
                <w:color w:val="000000"/>
                <w:sz w:val="22"/>
                <w:szCs w:val="22"/>
              </w:rPr>
              <w:t>SQ14</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Cs w:val="21"/>
                <w:lang w:bidi="ar"/>
              </w:rPr>
              <w:t>岐港片区</w:t>
            </w:r>
            <w:r>
              <w:rPr>
                <w:rFonts w:hint="eastAsia"/>
                <w:color w:val="000000"/>
                <w:kern w:val="0"/>
                <w:szCs w:val="21"/>
                <w:lang w:bidi="ar"/>
              </w:rPr>
              <w:t>D</w:t>
            </w:r>
            <w:r>
              <w:rPr>
                <w:rFonts w:hint="eastAsia" w:ascii="仿宋_GB2312" w:hAnsi="宋体" w:eastAsia="仿宋_GB2312" w:cs="仿宋_GB2312"/>
                <w:color w:val="000000"/>
                <w:kern w:val="0"/>
                <w:szCs w:val="21"/>
                <w:lang w:bidi="ar"/>
              </w:rPr>
              <w:t>地块</w:t>
            </w:r>
          </w:p>
        </w:tc>
        <w:tc>
          <w:tcPr>
            <w:tcW w:w="1006" w:type="pct"/>
            <w:vAlign w:val="center"/>
          </w:tcPr>
          <w:p>
            <w:pPr>
              <w:widowControl/>
              <w:jc w:val="center"/>
              <w:textAlignment w:val="center"/>
              <w:rPr>
                <w:kern w:val="0"/>
                <w:sz w:val="22"/>
                <w:szCs w:val="22"/>
              </w:rPr>
            </w:pPr>
            <w:r>
              <w:rPr>
                <w:rFonts w:hint="eastAsia"/>
                <w:color w:val="000000"/>
                <w:kern w:val="0"/>
                <w:szCs w:val="21"/>
                <w:lang w:eastAsia="zh-CN" w:bidi="ar"/>
              </w:rPr>
              <w:t>7.2136</w:t>
            </w:r>
            <w:r>
              <w:rPr>
                <w:color w:val="000000"/>
                <w:kern w:val="0"/>
                <w:szCs w:val="21"/>
                <w:lang w:bidi="ar"/>
              </w:rPr>
              <w:t xml:space="preserve"> </w:t>
            </w:r>
          </w:p>
        </w:tc>
        <w:tc>
          <w:tcPr>
            <w:tcW w:w="1462" w:type="pct"/>
            <w:vAlign w:val="center"/>
          </w:tcPr>
          <w:p>
            <w:pPr>
              <w:widowControl/>
              <w:jc w:val="center"/>
              <w:textAlignment w:val="center"/>
              <w:rPr>
                <w:rFonts w:ascii="仿宋_GB2312" w:hAnsi="仿宋_GB2312" w:eastAsia="仿宋_GB2312" w:cs="仿宋_GB2312"/>
                <w:kern w:val="0"/>
                <w:sz w:val="22"/>
                <w:szCs w:val="22"/>
                <w:lang w:bidi="ar"/>
              </w:rPr>
            </w:pPr>
            <w:r>
              <w:rPr>
                <w:rFonts w:hint="eastAsia" w:eastAsia="仿宋_GB2312"/>
                <w:color w:val="000000" w:themeColor="text1"/>
                <w:kern w:val="0"/>
                <w:szCs w:val="21"/>
                <w14:textFill>
                  <w14:solidFill>
                    <w14:schemeClr w14:val="tx1"/>
                  </w14:solidFill>
                </w14:textFill>
              </w:rPr>
              <w:t>居住用地</w:t>
            </w:r>
          </w:p>
        </w:tc>
        <w:tc>
          <w:tcPr>
            <w:tcW w:w="679" w:type="pct"/>
            <w:vAlign w:val="center"/>
          </w:tcPr>
          <w:p>
            <w:pPr>
              <w:widowControl/>
              <w:jc w:val="center"/>
              <w:rPr>
                <w:rFonts w:eastAsia="仿宋"/>
                <w:kern w:val="0"/>
                <w:sz w:val="22"/>
                <w:szCs w:val="22"/>
              </w:rPr>
            </w:pPr>
            <w:r>
              <w:rPr>
                <w:rFonts w:hint="eastAsia" w:eastAsia="仿宋_GB2312"/>
                <w:kern w:val="0"/>
                <w:sz w:val="22"/>
                <w:szCs w:val="22"/>
              </w:rPr>
              <w:t>202</w:t>
            </w:r>
            <w:r>
              <w:rPr>
                <w:rFonts w:hint="eastAsia" w:eastAsia="仿宋_GB2312"/>
                <w:kern w:val="0"/>
                <w:sz w:val="22"/>
                <w:szCs w:val="22"/>
                <w:lang w:val="en-US" w:eastAsia="zh-CN"/>
              </w:rPr>
              <w:t>3</w:t>
            </w:r>
            <w:r>
              <w:rPr>
                <w:rFonts w:hint="eastAsia"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83" w:type="pct"/>
            <w:vAlign w:val="center"/>
          </w:tcPr>
          <w:p>
            <w:pPr>
              <w:widowControl/>
              <w:jc w:val="center"/>
              <w:textAlignment w:val="center"/>
              <w:rPr>
                <w:rFonts w:eastAsia="仿宋"/>
                <w:kern w:val="0"/>
                <w:sz w:val="24"/>
              </w:rPr>
            </w:pPr>
            <w:r>
              <w:rPr>
                <w:rFonts w:hint="eastAsia" w:ascii="仿宋_GB2312" w:hAnsi="宋体" w:eastAsia="仿宋_GB2312" w:cs="仿宋_GB2312"/>
                <w:color w:val="000000"/>
                <w:sz w:val="22"/>
                <w:szCs w:val="22"/>
              </w:rPr>
              <w:t>SQ15</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ascii="仿宋_GB2312" w:hAnsi="宋体" w:eastAsia="仿宋_GB2312" w:cs="仿宋_GB2312"/>
                <w:color w:val="000000"/>
                <w:kern w:val="0"/>
                <w:szCs w:val="21"/>
                <w:lang w:bidi="ar"/>
              </w:rPr>
              <w:t>岐港片区</w:t>
            </w:r>
            <w:r>
              <w:rPr>
                <w:color w:val="000000"/>
                <w:kern w:val="0"/>
                <w:szCs w:val="21"/>
                <w:lang w:bidi="ar"/>
              </w:rPr>
              <w:t>E</w:t>
            </w:r>
            <w:r>
              <w:rPr>
                <w:rFonts w:ascii="仿宋_GB2312" w:hAnsi="宋体" w:eastAsia="仿宋_GB2312" w:cs="仿宋_GB2312"/>
                <w:color w:val="000000"/>
                <w:kern w:val="0"/>
                <w:szCs w:val="21"/>
                <w:lang w:bidi="ar"/>
              </w:rPr>
              <w:t>地块</w:t>
            </w:r>
          </w:p>
        </w:tc>
        <w:tc>
          <w:tcPr>
            <w:tcW w:w="1006" w:type="pct"/>
            <w:vAlign w:val="center"/>
          </w:tcPr>
          <w:p>
            <w:pPr>
              <w:widowControl/>
              <w:jc w:val="center"/>
              <w:textAlignment w:val="center"/>
              <w:rPr>
                <w:rFonts w:eastAsia="仿宋"/>
                <w:kern w:val="0"/>
                <w:sz w:val="22"/>
                <w:szCs w:val="22"/>
              </w:rPr>
            </w:pPr>
            <w:r>
              <w:rPr>
                <w:rFonts w:hint="eastAsia"/>
                <w:color w:val="000000"/>
                <w:kern w:val="0"/>
                <w:szCs w:val="21"/>
                <w:lang w:bidi="ar"/>
              </w:rPr>
              <w:t>5.8219</w:t>
            </w:r>
          </w:p>
        </w:tc>
        <w:tc>
          <w:tcPr>
            <w:tcW w:w="1462" w:type="pct"/>
            <w:vAlign w:val="center"/>
          </w:tcPr>
          <w:p>
            <w:pPr>
              <w:widowControl/>
              <w:jc w:val="center"/>
              <w:textAlignment w:val="center"/>
              <w:rPr>
                <w:rFonts w:ascii="仿宋_GB2312" w:hAnsi="仿宋_GB2312" w:eastAsia="仿宋_GB2312" w:cs="仿宋_GB2312"/>
                <w:kern w:val="0"/>
                <w:sz w:val="22"/>
                <w:szCs w:val="22"/>
                <w:lang w:bidi="ar"/>
              </w:rPr>
            </w:pPr>
            <w:r>
              <w:rPr>
                <w:rFonts w:hint="eastAsia" w:eastAsia="仿宋_GB2312"/>
                <w:color w:val="000000" w:themeColor="text1"/>
                <w:kern w:val="0"/>
                <w:szCs w:val="21"/>
                <w14:textFill>
                  <w14:solidFill>
                    <w14:schemeClr w14:val="tx1"/>
                  </w14:solidFill>
                </w14:textFill>
              </w:rPr>
              <w:t>商业用地、行政办公用地、文化设施用地</w:t>
            </w:r>
          </w:p>
        </w:tc>
        <w:tc>
          <w:tcPr>
            <w:tcW w:w="679" w:type="pct"/>
            <w:vAlign w:val="center"/>
          </w:tcPr>
          <w:p>
            <w:pPr>
              <w:widowControl/>
              <w:jc w:val="center"/>
              <w:rPr>
                <w:rFonts w:eastAsia="仿宋"/>
                <w:kern w:val="0"/>
                <w:sz w:val="22"/>
                <w:szCs w:val="22"/>
              </w:rPr>
            </w:pPr>
            <w:r>
              <w:rPr>
                <w:rFonts w:eastAsia="仿宋_GB2312"/>
                <w:kern w:val="0"/>
                <w:sz w:val="22"/>
                <w:szCs w:val="22"/>
              </w:rPr>
              <w:t>202</w:t>
            </w:r>
            <w:r>
              <w:rPr>
                <w:rFonts w:hint="eastAsia" w:eastAsia="仿宋_GB2312"/>
                <w:kern w:val="0"/>
                <w:sz w:val="22"/>
                <w:szCs w:val="22"/>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83" w:type="pct"/>
            <w:vAlign w:val="center"/>
          </w:tcPr>
          <w:p>
            <w:pPr>
              <w:widowControl/>
              <w:jc w:val="center"/>
              <w:textAlignment w:val="center"/>
              <w:rPr>
                <w:rFonts w:eastAsia="仿宋"/>
                <w:kern w:val="0"/>
                <w:sz w:val="24"/>
              </w:rPr>
            </w:pPr>
            <w:r>
              <w:rPr>
                <w:rFonts w:hint="eastAsia" w:ascii="仿宋_GB2312" w:hAnsi="宋体" w:eastAsia="仿宋_GB2312" w:cs="仿宋_GB2312"/>
                <w:color w:val="000000"/>
                <w:sz w:val="22"/>
                <w:szCs w:val="22"/>
              </w:rPr>
              <w:t>SQ16</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kern w:val="0"/>
                <w:szCs w:val="21"/>
                <w:lang w:bidi="ar"/>
              </w:rPr>
              <w:t>石岐街道文旅项目</w:t>
            </w:r>
          </w:p>
        </w:tc>
        <w:tc>
          <w:tcPr>
            <w:tcW w:w="1006" w:type="pct"/>
            <w:vAlign w:val="center"/>
          </w:tcPr>
          <w:p>
            <w:pPr>
              <w:widowControl/>
              <w:jc w:val="center"/>
              <w:textAlignment w:val="center"/>
              <w:rPr>
                <w:kern w:val="0"/>
                <w:sz w:val="22"/>
                <w:szCs w:val="22"/>
              </w:rPr>
            </w:pPr>
            <w:r>
              <w:rPr>
                <w:rFonts w:hint="eastAsia"/>
                <w:color w:val="000000"/>
                <w:kern w:val="0"/>
                <w:szCs w:val="21"/>
                <w:lang w:bidi="ar"/>
              </w:rPr>
              <w:t>0.4053</w:t>
            </w:r>
          </w:p>
        </w:tc>
        <w:tc>
          <w:tcPr>
            <w:tcW w:w="1462" w:type="pct"/>
            <w:vAlign w:val="center"/>
          </w:tcPr>
          <w:p>
            <w:pPr>
              <w:widowControl/>
              <w:jc w:val="center"/>
              <w:textAlignment w:val="center"/>
              <w:rPr>
                <w:rFonts w:ascii="仿宋_GB2312" w:hAnsi="仿宋_GB2312" w:eastAsia="仿宋_GB2312" w:cs="仿宋_GB2312"/>
                <w:kern w:val="0"/>
                <w:sz w:val="22"/>
                <w:szCs w:val="22"/>
                <w:lang w:bidi="ar"/>
              </w:rPr>
            </w:pPr>
            <w:r>
              <w:rPr>
                <w:rFonts w:hint="eastAsia" w:eastAsia="仿宋_GB2312"/>
                <w:color w:val="000000" w:themeColor="text1"/>
                <w:kern w:val="0"/>
                <w:szCs w:val="21"/>
                <w14:textFill>
                  <w14:solidFill>
                    <w14:schemeClr w14:val="tx1"/>
                  </w14:solidFill>
                </w14:textFill>
              </w:rPr>
              <w:t>娱乐康体用地</w:t>
            </w:r>
          </w:p>
        </w:tc>
        <w:tc>
          <w:tcPr>
            <w:tcW w:w="679" w:type="pct"/>
            <w:vAlign w:val="center"/>
          </w:tcPr>
          <w:p>
            <w:pPr>
              <w:widowControl/>
              <w:jc w:val="center"/>
              <w:rPr>
                <w:rFonts w:eastAsia="仿宋"/>
                <w:kern w:val="0"/>
                <w:sz w:val="22"/>
                <w:szCs w:val="22"/>
              </w:rPr>
            </w:pPr>
            <w:r>
              <w:rPr>
                <w:rFonts w:hint="eastAsia" w:eastAsia="仿宋_GB2312"/>
                <w:kern w:val="0"/>
                <w:sz w:val="22"/>
                <w:szCs w:val="22"/>
              </w:rPr>
              <w:t>2024</w:t>
            </w:r>
            <w:r>
              <w:rPr>
                <w:rFonts w:eastAsia="仿宋_GB2312"/>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83" w:type="pct"/>
            <w:vAlign w:val="center"/>
          </w:tcPr>
          <w:p>
            <w:pPr>
              <w:widowControl/>
              <w:jc w:val="center"/>
              <w:textAlignment w:val="center"/>
              <w:rPr>
                <w:rFonts w:eastAsia="仿宋"/>
                <w:kern w:val="0"/>
                <w:sz w:val="24"/>
              </w:rPr>
            </w:pPr>
            <w:r>
              <w:rPr>
                <w:rFonts w:hint="eastAsia" w:ascii="仿宋_GB2312" w:hAnsi="宋体" w:eastAsia="仿宋_GB2312" w:cs="仿宋_GB2312"/>
                <w:color w:val="000000"/>
                <w:sz w:val="22"/>
                <w:szCs w:val="22"/>
              </w:rPr>
              <w:t>SQ17</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宋体" w:eastAsia="仿宋_GB2312" w:cs="仿宋_GB2312"/>
                <w:color w:val="000000"/>
                <w:szCs w:val="21"/>
              </w:rPr>
              <w:t>岐江新城石岐总部经济区地块-1</w:t>
            </w:r>
          </w:p>
        </w:tc>
        <w:tc>
          <w:tcPr>
            <w:tcW w:w="1006" w:type="pct"/>
            <w:vAlign w:val="center"/>
          </w:tcPr>
          <w:p>
            <w:pPr>
              <w:widowControl/>
              <w:jc w:val="center"/>
              <w:textAlignment w:val="center"/>
              <w:rPr>
                <w:rFonts w:eastAsia="仿宋"/>
                <w:kern w:val="0"/>
                <w:sz w:val="22"/>
                <w:szCs w:val="22"/>
              </w:rPr>
            </w:pPr>
            <w:r>
              <w:rPr>
                <w:rFonts w:hint="eastAsia"/>
                <w:color w:val="000000"/>
                <w:kern w:val="0"/>
                <w:szCs w:val="21"/>
                <w:lang w:bidi="ar"/>
              </w:rPr>
              <w:t>4.8010</w:t>
            </w:r>
          </w:p>
        </w:tc>
        <w:tc>
          <w:tcPr>
            <w:tcW w:w="1462" w:type="pct"/>
            <w:vAlign w:val="center"/>
          </w:tcPr>
          <w:p>
            <w:pPr>
              <w:widowControl/>
              <w:jc w:val="center"/>
              <w:textAlignment w:val="center"/>
              <w:rPr>
                <w:rFonts w:ascii="仿宋_GB2312" w:hAnsi="仿宋_GB2312" w:eastAsia="仿宋_GB2312" w:cs="仿宋_GB2312"/>
                <w:kern w:val="0"/>
                <w:sz w:val="22"/>
                <w:szCs w:val="22"/>
                <w:lang w:bidi="ar"/>
              </w:rPr>
            </w:pPr>
            <w:r>
              <w:rPr>
                <w:rFonts w:hint="eastAsia" w:eastAsia="仿宋_GB2312"/>
                <w:color w:val="000000" w:themeColor="text1"/>
                <w:kern w:val="0"/>
                <w:szCs w:val="21"/>
                <w14:textFill>
                  <w14:solidFill>
                    <w14:schemeClr w14:val="tx1"/>
                  </w14:solidFill>
                </w14:textFill>
              </w:rPr>
              <w:t>居住用地、商业用地</w:t>
            </w:r>
          </w:p>
        </w:tc>
        <w:tc>
          <w:tcPr>
            <w:tcW w:w="679" w:type="pct"/>
            <w:vAlign w:val="center"/>
          </w:tcPr>
          <w:p>
            <w:pPr>
              <w:widowControl/>
              <w:jc w:val="center"/>
              <w:rPr>
                <w:rFonts w:eastAsia="仿宋"/>
                <w:kern w:val="0"/>
                <w:sz w:val="22"/>
                <w:szCs w:val="22"/>
              </w:rPr>
            </w:pPr>
            <w:r>
              <w:rPr>
                <w:rFonts w:eastAsia="仿宋_GB2312"/>
                <w:kern w:val="0"/>
                <w:sz w:val="22"/>
                <w:szCs w:val="22"/>
              </w:rPr>
              <w:t>202</w:t>
            </w:r>
            <w:r>
              <w:rPr>
                <w:rFonts w:hint="eastAsia" w:eastAsia="仿宋_GB2312"/>
                <w:kern w:val="0"/>
                <w:sz w:val="22"/>
                <w:szCs w:val="22"/>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51" w:type="pct"/>
            <w:gridSpan w:val="2"/>
            <w:vAlign w:val="center"/>
          </w:tcPr>
          <w:p>
            <w:pPr>
              <w:widowControl/>
              <w:jc w:val="center"/>
              <w:rPr>
                <w:rFonts w:eastAsia="仿宋"/>
                <w:b/>
                <w:bCs/>
                <w:kern w:val="0"/>
                <w:sz w:val="22"/>
                <w:szCs w:val="22"/>
              </w:rPr>
            </w:pPr>
            <w:r>
              <w:rPr>
                <w:rFonts w:hint="eastAsia" w:ascii="仿宋_GB2312" w:hAnsi="仿宋_GB2312" w:eastAsia="仿宋_GB2312" w:cs="仿宋_GB2312"/>
                <w:b/>
                <w:bCs/>
                <w:kern w:val="0"/>
                <w:sz w:val="22"/>
                <w:szCs w:val="22"/>
              </w:rPr>
              <w:t>合计</w:t>
            </w:r>
          </w:p>
        </w:tc>
        <w:tc>
          <w:tcPr>
            <w:tcW w:w="1006" w:type="pct"/>
            <w:vAlign w:val="center"/>
          </w:tcPr>
          <w:p>
            <w:pPr>
              <w:widowControl/>
              <w:jc w:val="center"/>
              <w:textAlignment w:val="center"/>
              <w:rPr>
                <w:rFonts w:hint="eastAsia" w:eastAsia="宋体"/>
                <w:b/>
                <w:bCs/>
                <w:kern w:val="0"/>
                <w:sz w:val="22"/>
                <w:szCs w:val="22"/>
                <w:lang w:eastAsia="zh-CN"/>
              </w:rPr>
            </w:pPr>
            <w:r>
              <w:rPr>
                <w:rFonts w:hint="eastAsia"/>
                <w:b/>
                <w:bCs/>
                <w:kern w:val="0"/>
                <w:sz w:val="22"/>
                <w:szCs w:val="22"/>
                <w:lang w:eastAsia="zh-CN" w:bidi="ar"/>
              </w:rPr>
              <w:t>18.2418</w:t>
            </w:r>
          </w:p>
        </w:tc>
        <w:tc>
          <w:tcPr>
            <w:tcW w:w="1462" w:type="pct"/>
            <w:vAlign w:val="center"/>
          </w:tcPr>
          <w:p>
            <w:pPr>
              <w:widowControl/>
              <w:jc w:val="center"/>
              <w:rPr>
                <w:rFonts w:eastAsia="仿宋"/>
                <w:b/>
                <w:bCs/>
                <w:kern w:val="0"/>
                <w:sz w:val="22"/>
                <w:szCs w:val="22"/>
              </w:rPr>
            </w:pPr>
            <w:r>
              <w:rPr>
                <w:rFonts w:eastAsia="仿宋_GB2312"/>
                <w:b/>
                <w:bCs/>
                <w:kern w:val="0"/>
                <w:sz w:val="22"/>
                <w:szCs w:val="22"/>
              </w:rPr>
              <w:t>——</w:t>
            </w:r>
          </w:p>
        </w:tc>
        <w:tc>
          <w:tcPr>
            <w:tcW w:w="679" w:type="pct"/>
            <w:vAlign w:val="center"/>
          </w:tcPr>
          <w:p>
            <w:pPr>
              <w:widowControl/>
              <w:jc w:val="center"/>
              <w:rPr>
                <w:rFonts w:eastAsia="仿宋"/>
                <w:b/>
                <w:bCs/>
                <w:kern w:val="0"/>
                <w:sz w:val="22"/>
                <w:szCs w:val="22"/>
              </w:rPr>
            </w:pPr>
            <w:r>
              <w:rPr>
                <w:rFonts w:eastAsia="仿宋_GB2312"/>
                <w:b/>
                <w:bCs/>
                <w:kern w:val="0"/>
                <w:sz w:val="22"/>
                <w:szCs w:val="22"/>
              </w:rPr>
              <w:t>——</w:t>
            </w:r>
          </w:p>
        </w:tc>
      </w:tr>
    </w:tbl>
    <w:p>
      <w:pPr>
        <w:keepNext w:val="0"/>
        <w:keepLines w:val="0"/>
        <w:pageBreakBefore w:val="0"/>
        <w:widowControl w:val="0"/>
        <w:kinsoku/>
        <w:wordWrap/>
        <w:overflowPunct/>
        <w:topLinePunct w:val="0"/>
        <w:autoSpaceDE/>
        <w:autoSpaceDN/>
        <w:bidi w:val="0"/>
        <w:adjustRightInd/>
        <w:snapToGrid w:val="0"/>
        <w:spacing w:before="157" w:beforeLines="50" w:line="336" w:lineRule="auto"/>
        <w:ind w:firstLine="640" w:firstLineChars="200"/>
        <w:textAlignment w:val="auto"/>
        <w:outlineLvl w:val="1"/>
        <w:rPr>
          <w:rFonts w:hint="default" w:ascii="黑体" w:hAnsi="黑体" w:eastAsia="黑体" w:cs="黑体"/>
          <w:b w:val="0"/>
          <w:bCs w:val="0"/>
          <w:sz w:val="32"/>
          <w:szCs w:val="32"/>
        </w:rPr>
      </w:pPr>
      <w:r>
        <w:rPr>
          <w:rFonts w:hint="default" w:ascii="黑体" w:hAnsi="黑体" w:eastAsia="黑体" w:cs="黑体"/>
          <w:b w:val="0"/>
          <w:bCs w:val="0"/>
          <w:sz w:val="32"/>
          <w:szCs w:val="32"/>
        </w:rPr>
        <w:t>五、公益性用地情况</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成片开发区域内公益性用地主要为</w:t>
      </w:r>
      <w:r>
        <w:rPr>
          <w:rFonts w:hint="eastAsia" w:ascii="Times New Roman" w:hAnsi="Times New Roman" w:eastAsia="仿宋_GB2312" w:cs="Times New Roman"/>
          <w:sz w:val="32"/>
          <w:szCs w:val="32"/>
        </w:rPr>
        <w:t>公园绿地</w:t>
      </w:r>
      <w:r>
        <w:rPr>
          <w:rFonts w:hint="default" w:ascii="Times New Roman" w:hAnsi="Times New Roman" w:eastAsia="仿宋_GB2312" w:cs="Times New Roman"/>
          <w:sz w:val="32"/>
          <w:szCs w:val="32"/>
        </w:rPr>
        <w:t>、城市道路用地和</w:t>
      </w:r>
      <w:r>
        <w:rPr>
          <w:rFonts w:hint="eastAsia" w:ascii="Times New Roman" w:hAnsi="Times New Roman" w:eastAsia="仿宋_GB2312" w:cs="Times New Roman"/>
          <w:sz w:val="32"/>
          <w:szCs w:val="32"/>
        </w:rPr>
        <w:t>文化设施用地、教育科研用地等</w:t>
      </w:r>
      <w:r>
        <w:rPr>
          <w:rFonts w:hint="default" w:ascii="Times New Roman" w:hAnsi="Times New Roman" w:eastAsia="仿宋_GB2312" w:cs="Times New Roman"/>
          <w:sz w:val="32"/>
          <w:szCs w:val="32"/>
        </w:rPr>
        <w:t>。经核查，成片开发范围符合《自然资源部关于印发&lt;土地征收成片开发标准（试行）&gt;的通知》（自然资规〔2020〕5号）公益性用地比例一般不低于40%的要求。</w:t>
      </w:r>
    </w:p>
    <w:p>
      <w:pPr>
        <w:ind w:firstLine="482" w:firstLineChars="200"/>
        <w:jc w:val="center"/>
        <w:rPr>
          <w:rFonts w:eastAsia="仿宋_GB2312"/>
          <w:b/>
          <w:bCs/>
          <w:sz w:val="24"/>
        </w:rPr>
      </w:pPr>
      <w:r>
        <w:rPr>
          <w:rFonts w:eastAsia="仿宋_GB2312"/>
          <w:b/>
          <w:bCs/>
          <w:sz w:val="24"/>
        </w:rPr>
        <w:t>表3  公益性用地情况一览表</w:t>
      </w:r>
    </w:p>
    <w:p>
      <w:pPr>
        <w:jc w:val="right"/>
        <w:rPr>
          <w:rFonts w:eastAsia="仿宋_GB2312"/>
        </w:rPr>
      </w:pPr>
      <w:r>
        <w:rPr>
          <w:rFonts w:eastAsia="仿宋_GB2312"/>
        </w:rPr>
        <w:t>单位：公顷、%</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5"/>
        <w:gridCol w:w="2279"/>
        <w:gridCol w:w="1700"/>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trPr>
        <w:tc>
          <w:tcPr>
            <w:tcW w:w="1537" w:type="pct"/>
            <w:vAlign w:val="center"/>
          </w:tcPr>
          <w:p>
            <w:pPr>
              <w:spacing w:line="300" w:lineRule="exact"/>
              <w:ind w:left="-38" w:leftChars="-18"/>
              <w:jc w:val="center"/>
              <w:rPr>
                <w:rFonts w:eastAsia="仿宋_GB2312"/>
                <w:b/>
                <w:bCs/>
                <w:sz w:val="22"/>
                <w:szCs w:val="22"/>
              </w:rPr>
            </w:pPr>
            <w:r>
              <w:rPr>
                <w:rFonts w:hint="eastAsia" w:eastAsia="仿宋_GB2312"/>
                <w:b/>
                <w:bCs/>
                <w:sz w:val="22"/>
                <w:szCs w:val="22"/>
              </w:rPr>
              <w:t>地块</w:t>
            </w:r>
            <w:r>
              <w:rPr>
                <w:rFonts w:eastAsia="仿宋_GB2312"/>
                <w:b/>
                <w:bCs/>
                <w:sz w:val="22"/>
                <w:szCs w:val="22"/>
              </w:rPr>
              <w:t>名称</w:t>
            </w:r>
          </w:p>
        </w:tc>
        <w:tc>
          <w:tcPr>
            <w:tcW w:w="1258"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公益性用地面积</w:t>
            </w:r>
          </w:p>
        </w:tc>
        <w:tc>
          <w:tcPr>
            <w:tcW w:w="938" w:type="pct"/>
            <w:vAlign w:val="center"/>
          </w:tcPr>
          <w:p>
            <w:pPr>
              <w:spacing w:line="300" w:lineRule="exact"/>
              <w:ind w:left="-38" w:leftChars="-18"/>
              <w:jc w:val="center"/>
              <w:rPr>
                <w:rFonts w:eastAsia="仿宋_GB2312"/>
                <w:b/>
                <w:bCs/>
                <w:sz w:val="22"/>
                <w:szCs w:val="22"/>
              </w:rPr>
            </w:pPr>
            <w:r>
              <w:rPr>
                <w:rFonts w:eastAsia="仿宋_GB2312"/>
                <w:b/>
                <w:bCs/>
                <w:sz w:val="22"/>
                <w:szCs w:val="22"/>
              </w:rPr>
              <w:t>总用地面积</w:t>
            </w:r>
          </w:p>
        </w:tc>
        <w:tc>
          <w:tcPr>
            <w:tcW w:w="1265"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1537" w:type="pct"/>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themeColor="text1"/>
                <w:kern w:val="0"/>
                <w:szCs w:val="21"/>
                <w14:textFill>
                  <w14:solidFill>
                    <w14:schemeClr w14:val="tx1"/>
                  </w14:solidFill>
                </w14:textFill>
              </w:rPr>
              <w:t>岐港片区D地块</w:t>
            </w:r>
          </w:p>
        </w:tc>
        <w:tc>
          <w:tcPr>
            <w:tcW w:w="1258" w:type="pct"/>
            <w:vMerge w:val="restar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kern w:val="0"/>
                <w:szCs w:val="21"/>
                <w:lang w:val="en-US" w:eastAsia="zh-CN"/>
                <w14:textFill>
                  <w14:solidFill>
                    <w14:schemeClr w14:val="tx1"/>
                  </w14:solidFill>
                </w14:textFill>
              </w:rPr>
              <w:t>5.2399</w:t>
            </w:r>
          </w:p>
        </w:tc>
        <w:tc>
          <w:tcPr>
            <w:tcW w:w="938" w:type="pct"/>
            <w:vAlign w:val="center"/>
          </w:tcPr>
          <w:p>
            <w:pPr>
              <w:widowControl/>
              <w:jc w:val="center"/>
              <w:textAlignment w:val="center"/>
              <w:rPr>
                <w:sz w:val="22"/>
                <w:szCs w:val="22"/>
              </w:rPr>
            </w:pPr>
            <w:r>
              <w:rPr>
                <w:rFonts w:hint="eastAsia" w:eastAsia="仿宋_GB2312"/>
                <w:color w:val="000000" w:themeColor="text1"/>
                <w:kern w:val="0"/>
                <w:szCs w:val="21"/>
                <w:lang w:eastAsia="zh-CN"/>
                <w14:textFill>
                  <w14:solidFill>
                    <w14:schemeClr w14:val="tx1"/>
                  </w14:solidFill>
                </w14:textFill>
              </w:rPr>
              <w:t>7.2136</w:t>
            </w:r>
            <w:r>
              <w:rPr>
                <w:rFonts w:hint="eastAsia" w:eastAsia="仿宋_GB2312"/>
                <w:color w:val="000000" w:themeColor="text1"/>
                <w:kern w:val="0"/>
                <w:szCs w:val="21"/>
                <w14:textFill>
                  <w14:solidFill>
                    <w14:schemeClr w14:val="tx1"/>
                  </w14:solidFill>
                </w14:textFill>
              </w:rPr>
              <w:t xml:space="preserve"> </w:t>
            </w:r>
          </w:p>
        </w:tc>
        <w:tc>
          <w:tcPr>
            <w:tcW w:w="2156" w:type="dxa"/>
            <w:vMerge w:val="restart"/>
            <w:vAlign w:val="center"/>
          </w:tcPr>
          <w:p>
            <w:pPr>
              <w:widowControl/>
              <w:jc w:val="center"/>
              <w:textAlignment w:val="center"/>
              <w:rPr>
                <w:rFonts w:hint="default" w:eastAsia="仿宋_GB2312"/>
                <w:lang w:val="en-US" w:eastAsia="zh-CN"/>
              </w:rPr>
            </w:pPr>
            <w:r>
              <w:rPr>
                <w:rFonts w:hint="eastAsia" w:eastAsia="仿宋_GB2312"/>
                <w:color w:val="000000" w:themeColor="text1"/>
                <w:szCs w:val="21"/>
                <w14:textFill>
                  <w14:solidFill>
                    <w14:schemeClr w14:val="tx1"/>
                  </w14:solidFill>
                </w14:textFill>
              </w:rPr>
              <w:t>40.</w:t>
            </w:r>
            <w:r>
              <w:rPr>
                <w:rFonts w:hint="eastAsia" w:eastAsia="仿宋_GB2312"/>
                <w:color w:val="000000" w:themeColor="text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37" w:type="pct"/>
            <w:vAlign w:val="center"/>
          </w:tcPr>
          <w:p>
            <w:pPr>
              <w:widowControl/>
              <w:jc w:val="center"/>
              <w:textAlignment w:val="center"/>
              <w:rPr>
                <w:rFonts w:ascii="仿宋_GB2312" w:hAnsi="仿宋_GB2312" w:eastAsia="仿宋_GB2312" w:cs="仿宋_GB2312"/>
                <w:sz w:val="22"/>
                <w:szCs w:val="22"/>
              </w:rPr>
            </w:pPr>
            <w:r>
              <w:rPr>
                <w:rFonts w:hint="eastAsia" w:eastAsia="仿宋_GB2312" w:cs="仿宋_GB2312"/>
                <w:color w:val="000000" w:themeColor="text1"/>
                <w:kern w:val="0"/>
                <w:szCs w:val="21"/>
                <w14:textFill>
                  <w14:solidFill>
                    <w14:schemeClr w14:val="tx1"/>
                  </w14:solidFill>
                </w14:textFill>
              </w:rPr>
              <w:t>岐港片区E地块</w:t>
            </w:r>
          </w:p>
        </w:tc>
        <w:tc>
          <w:tcPr>
            <w:tcW w:w="1258" w:type="pct"/>
            <w:vMerge w:val="continue"/>
            <w:vAlign w:val="center"/>
          </w:tcPr>
          <w:p>
            <w:pPr>
              <w:widowControl/>
              <w:jc w:val="center"/>
              <w:textAlignment w:val="center"/>
              <w:rPr>
                <w:rFonts w:eastAsia="仿宋_GB2312"/>
                <w:sz w:val="22"/>
                <w:szCs w:val="22"/>
              </w:rPr>
            </w:pPr>
          </w:p>
        </w:tc>
        <w:tc>
          <w:tcPr>
            <w:tcW w:w="938" w:type="pct"/>
            <w:vAlign w:val="center"/>
          </w:tcPr>
          <w:p>
            <w:pPr>
              <w:widowControl/>
              <w:jc w:val="center"/>
              <w:textAlignment w:val="center"/>
              <w:rPr>
                <w:rFonts w:eastAsia="仿宋_GB2312"/>
                <w:sz w:val="22"/>
                <w:szCs w:val="22"/>
              </w:rPr>
            </w:pPr>
            <w:r>
              <w:rPr>
                <w:rFonts w:hint="eastAsia" w:eastAsia="仿宋_GB2312"/>
                <w:color w:val="000000" w:themeColor="text1"/>
                <w:kern w:val="0"/>
                <w:szCs w:val="21"/>
                <w14:textFill>
                  <w14:solidFill>
                    <w14:schemeClr w14:val="tx1"/>
                  </w14:solidFill>
                </w14:textFill>
              </w:rPr>
              <w:t>5.8219</w:t>
            </w:r>
          </w:p>
        </w:tc>
        <w:tc>
          <w:tcPr>
            <w:tcW w:w="1265" w:type="pct"/>
            <w:vMerge w:val="continue"/>
            <w:vAlign w:val="center"/>
          </w:tcPr>
          <w:p>
            <w:pPr>
              <w:widowControl/>
              <w:jc w:val="center"/>
              <w:textAlignment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37" w:type="pct"/>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themeColor="text1"/>
                <w:kern w:val="0"/>
                <w:szCs w:val="21"/>
                <w14:textFill>
                  <w14:solidFill>
                    <w14:schemeClr w14:val="tx1"/>
                  </w14:solidFill>
                </w14:textFill>
              </w:rPr>
              <w:t>石岐街道文旅项目</w:t>
            </w:r>
          </w:p>
        </w:tc>
        <w:tc>
          <w:tcPr>
            <w:tcW w:w="1258" w:type="pct"/>
            <w:vAlign w:val="center"/>
          </w:tcPr>
          <w:p>
            <w:pPr>
              <w:widowControl/>
              <w:jc w:val="center"/>
              <w:textAlignment w:val="center"/>
              <w:rPr>
                <w:rFonts w:eastAsia="微软雅黑"/>
                <w:sz w:val="22"/>
                <w:szCs w:val="22"/>
              </w:rPr>
            </w:pPr>
            <w:r>
              <w:rPr>
                <w:rFonts w:hint="eastAsia" w:eastAsia="仿宋_GB2312"/>
                <w:color w:val="000000" w:themeColor="text1"/>
                <w:szCs w:val="21"/>
                <w14:textFill>
                  <w14:solidFill>
                    <w14:schemeClr w14:val="tx1"/>
                  </w14:solidFill>
                </w14:textFill>
              </w:rPr>
              <w:t>0.1621</w:t>
            </w:r>
          </w:p>
        </w:tc>
        <w:tc>
          <w:tcPr>
            <w:tcW w:w="938" w:type="pct"/>
            <w:vAlign w:val="center"/>
          </w:tcPr>
          <w:p>
            <w:pPr>
              <w:widowControl/>
              <w:jc w:val="center"/>
              <w:textAlignment w:val="center"/>
              <w:rPr>
                <w:sz w:val="22"/>
                <w:szCs w:val="22"/>
              </w:rPr>
            </w:pPr>
            <w:r>
              <w:rPr>
                <w:rFonts w:hint="eastAsia" w:eastAsia="仿宋_GB2312"/>
                <w:color w:val="000000" w:themeColor="text1"/>
                <w:kern w:val="0"/>
                <w:szCs w:val="21"/>
                <w14:textFill>
                  <w14:solidFill>
                    <w14:schemeClr w14:val="tx1"/>
                  </w14:solidFill>
                </w14:textFill>
              </w:rPr>
              <w:t>0.4053</w:t>
            </w:r>
          </w:p>
        </w:tc>
        <w:tc>
          <w:tcPr>
            <w:tcW w:w="2156" w:type="dxa"/>
            <w:vAlign w:val="center"/>
          </w:tcPr>
          <w:p>
            <w:pPr>
              <w:widowControl/>
              <w:jc w:val="center"/>
              <w:textAlignment w:val="center"/>
              <w:rPr>
                <w:rFonts w:eastAsia="仿宋_GB2312"/>
                <w:sz w:val="22"/>
                <w:szCs w:val="22"/>
              </w:rPr>
            </w:pPr>
            <w:r>
              <w:rPr>
                <w:rFonts w:hint="eastAsia" w:eastAsia="仿宋_GB2312"/>
                <w:color w:val="000000" w:themeColor="text1"/>
                <w:szCs w:val="21"/>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pct"/>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color w:val="000000" w:themeColor="text1"/>
                <w:kern w:val="0"/>
                <w:szCs w:val="21"/>
                <w14:textFill>
                  <w14:solidFill>
                    <w14:schemeClr w14:val="tx1"/>
                  </w14:solidFill>
                </w14:textFill>
              </w:rPr>
              <w:t>岐江新城石岐总部经济区地块-1</w:t>
            </w:r>
          </w:p>
        </w:tc>
        <w:tc>
          <w:tcPr>
            <w:tcW w:w="1258" w:type="pct"/>
            <w:vAlign w:val="center"/>
          </w:tcPr>
          <w:p>
            <w:pPr>
              <w:widowControl/>
              <w:jc w:val="center"/>
              <w:textAlignment w:val="center"/>
              <w:rPr>
                <w:rFonts w:eastAsia="仿宋_GB2312"/>
                <w:sz w:val="22"/>
                <w:szCs w:val="22"/>
              </w:rPr>
            </w:pPr>
            <w:r>
              <w:rPr>
                <w:rFonts w:hint="eastAsia" w:eastAsia="仿宋_GB2312"/>
                <w:color w:val="000000" w:themeColor="text1"/>
                <w:kern w:val="0"/>
                <w:szCs w:val="21"/>
                <w14:textFill>
                  <w14:solidFill>
                    <w14:schemeClr w14:val="tx1"/>
                  </w14:solidFill>
                </w14:textFill>
              </w:rPr>
              <w:t>2.6870</w:t>
            </w:r>
          </w:p>
        </w:tc>
        <w:tc>
          <w:tcPr>
            <w:tcW w:w="938" w:type="pct"/>
            <w:vAlign w:val="center"/>
          </w:tcPr>
          <w:p>
            <w:pPr>
              <w:widowControl/>
              <w:jc w:val="center"/>
              <w:textAlignment w:val="center"/>
              <w:rPr>
                <w:rFonts w:eastAsia="仿宋_GB2312"/>
                <w:sz w:val="22"/>
                <w:szCs w:val="22"/>
              </w:rPr>
            </w:pPr>
            <w:r>
              <w:rPr>
                <w:rFonts w:hint="eastAsia" w:eastAsia="仿宋_GB2312"/>
                <w:color w:val="000000" w:themeColor="text1"/>
                <w:kern w:val="0"/>
                <w:szCs w:val="21"/>
                <w14:textFill>
                  <w14:solidFill>
                    <w14:schemeClr w14:val="tx1"/>
                  </w14:solidFill>
                </w14:textFill>
              </w:rPr>
              <w:t>4.8010</w:t>
            </w:r>
          </w:p>
        </w:tc>
        <w:tc>
          <w:tcPr>
            <w:tcW w:w="2156" w:type="dxa"/>
            <w:vAlign w:val="center"/>
          </w:tcPr>
          <w:p>
            <w:pPr>
              <w:widowControl/>
              <w:jc w:val="center"/>
              <w:textAlignment w:val="center"/>
              <w:rPr>
                <w:rFonts w:eastAsia="仿宋_GB2312"/>
                <w:sz w:val="22"/>
                <w:szCs w:val="22"/>
              </w:rPr>
            </w:pPr>
            <w:r>
              <w:rPr>
                <w:rFonts w:hint="eastAsia" w:eastAsia="仿宋_GB2312"/>
                <w:color w:val="000000" w:themeColor="text1"/>
                <w:szCs w:val="21"/>
                <w14:textFill>
                  <w14:solidFill>
                    <w14:schemeClr w14:val="tx1"/>
                  </w14:solidFill>
                </w14:textFill>
              </w:rPr>
              <w:t>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37" w:type="pct"/>
            <w:vAlign w:val="center"/>
          </w:tcPr>
          <w:p>
            <w:pPr>
              <w:widowControl/>
              <w:jc w:val="center"/>
              <w:textAlignment w:val="center"/>
              <w:rPr>
                <w:rFonts w:ascii="仿宋_GB2312" w:hAnsi="仿宋_GB2312" w:eastAsia="仿宋_GB2312" w:cs="仿宋_GB2312"/>
                <w:b/>
                <w:bCs/>
                <w:kern w:val="0"/>
                <w:sz w:val="22"/>
                <w:szCs w:val="22"/>
                <w:lang w:bidi="ar"/>
              </w:rPr>
            </w:pPr>
            <w:bookmarkStart w:id="0" w:name="_Toc72190178"/>
            <w:r>
              <w:rPr>
                <w:rFonts w:hint="eastAsia" w:ascii="仿宋_GB2312" w:hAnsi="仿宋_GB2312" w:eastAsia="仿宋_GB2312" w:cs="仿宋_GB2312"/>
                <w:b/>
                <w:bCs/>
                <w:kern w:val="0"/>
                <w:sz w:val="22"/>
                <w:szCs w:val="22"/>
                <w:lang w:bidi="ar"/>
              </w:rPr>
              <w:t>合计</w:t>
            </w:r>
          </w:p>
        </w:tc>
        <w:tc>
          <w:tcPr>
            <w:tcW w:w="1258" w:type="pct"/>
            <w:vAlign w:val="center"/>
          </w:tcPr>
          <w:p>
            <w:pPr>
              <w:widowControl/>
              <w:jc w:val="center"/>
              <w:textAlignment w:val="center"/>
              <w:rPr>
                <w:rFonts w:hint="default" w:eastAsia="仿宋_GB2312"/>
                <w:b/>
                <w:bCs/>
                <w:color w:val="000000"/>
                <w:kern w:val="0"/>
                <w:sz w:val="22"/>
                <w:szCs w:val="22"/>
                <w:lang w:val="en-US" w:eastAsia="zh-CN" w:bidi="ar"/>
              </w:rPr>
            </w:pPr>
            <w:r>
              <w:rPr>
                <w:rFonts w:hint="eastAsia" w:eastAsia="仿宋_GB2312"/>
                <w:b/>
                <w:bCs/>
                <w:color w:val="000000" w:themeColor="text1"/>
                <w:kern w:val="0"/>
                <w:szCs w:val="21"/>
                <w14:textFill>
                  <w14:solidFill>
                    <w14:schemeClr w14:val="tx1"/>
                  </w14:solidFill>
                </w14:textFill>
              </w:rPr>
              <w:t>8.</w:t>
            </w:r>
            <w:r>
              <w:rPr>
                <w:rFonts w:hint="eastAsia" w:eastAsia="仿宋_GB2312"/>
                <w:b/>
                <w:bCs/>
                <w:color w:val="000000" w:themeColor="text1"/>
                <w:kern w:val="0"/>
                <w:szCs w:val="21"/>
                <w:lang w:val="en-US" w:eastAsia="zh-CN"/>
                <w14:textFill>
                  <w14:solidFill>
                    <w14:schemeClr w14:val="tx1"/>
                  </w14:solidFill>
                </w14:textFill>
              </w:rPr>
              <w:t>0890</w:t>
            </w:r>
          </w:p>
        </w:tc>
        <w:tc>
          <w:tcPr>
            <w:tcW w:w="938" w:type="pct"/>
            <w:vAlign w:val="center"/>
          </w:tcPr>
          <w:p>
            <w:pPr>
              <w:widowControl/>
              <w:jc w:val="center"/>
              <w:textAlignment w:val="center"/>
              <w:rPr>
                <w:rFonts w:hint="eastAsia" w:eastAsia="宋体"/>
                <w:b/>
                <w:bCs/>
                <w:kern w:val="0"/>
                <w:sz w:val="22"/>
                <w:szCs w:val="22"/>
                <w:lang w:eastAsia="zh-CN" w:bidi="ar"/>
              </w:rPr>
            </w:pPr>
            <w:r>
              <w:rPr>
                <w:rFonts w:hint="eastAsia" w:eastAsia="仿宋_GB2312"/>
                <w:b/>
                <w:bCs/>
                <w:color w:val="000000" w:themeColor="text1"/>
                <w:kern w:val="0"/>
                <w:szCs w:val="21"/>
                <w:lang w:eastAsia="zh-CN"/>
                <w14:textFill>
                  <w14:solidFill>
                    <w14:schemeClr w14:val="tx1"/>
                  </w14:solidFill>
                </w14:textFill>
              </w:rPr>
              <w:t>18.2418</w:t>
            </w:r>
          </w:p>
        </w:tc>
        <w:tc>
          <w:tcPr>
            <w:tcW w:w="2156" w:type="dxa"/>
            <w:vAlign w:val="center"/>
          </w:tcPr>
          <w:p>
            <w:pPr>
              <w:widowControl/>
              <w:jc w:val="center"/>
              <w:textAlignment w:val="center"/>
              <w:rPr>
                <w:rFonts w:hint="default" w:eastAsia="仿宋_GB2312"/>
                <w:b/>
                <w:bCs/>
                <w:color w:val="000000"/>
                <w:kern w:val="0"/>
                <w:sz w:val="22"/>
                <w:szCs w:val="22"/>
                <w:lang w:val="en-US" w:eastAsia="zh-CN" w:bidi="ar"/>
              </w:rPr>
            </w:pPr>
            <w:r>
              <w:rPr>
                <w:rFonts w:hint="eastAsia" w:eastAsia="仿宋_GB2312"/>
                <w:b/>
                <w:bCs/>
                <w:color w:val="000000" w:themeColor="text1"/>
                <w:kern w:val="0"/>
                <w:szCs w:val="21"/>
                <w14:textFill>
                  <w14:solidFill>
                    <w14:schemeClr w14:val="tx1"/>
                  </w14:solidFill>
                </w14:textFill>
              </w:rPr>
              <w:t>44.</w:t>
            </w:r>
            <w:r>
              <w:rPr>
                <w:rFonts w:hint="eastAsia" w:eastAsia="仿宋_GB2312"/>
                <w:b/>
                <w:bCs/>
                <w:color w:val="000000" w:themeColor="text1"/>
                <w:kern w:val="0"/>
                <w:szCs w:val="21"/>
                <w:lang w:val="en-US" w:eastAsia="zh-CN"/>
                <w14:textFill>
                  <w14:solidFill>
                    <w14:schemeClr w14:val="tx1"/>
                  </w14:solidFill>
                </w14:textFill>
              </w:rPr>
              <w:t>34</w:t>
            </w:r>
          </w:p>
        </w:tc>
      </w:tr>
    </w:tbl>
    <w:p>
      <w:pPr>
        <w:keepNext w:val="0"/>
        <w:keepLines w:val="0"/>
        <w:pageBreakBefore w:val="0"/>
        <w:widowControl w:val="0"/>
        <w:kinsoku/>
        <w:wordWrap/>
        <w:overflowPunct/>
        <w:topLinePunct w:val="0"/>
        <w:autoSpaceDE/>
        <w:autoSpaceDN/>
        <w:bidi w:val="0"/>
        <w:adjustRightInd/>
        <w:snapToGrid w:val="0"/>
        <w:spacing w:before="157" w:beforeLines="50" w:line="336" w:lineRule="auto"/>
        <w:ind w:firstLine="640" w:firstLineChars="200"/>
        <w:textAlignment w:val="auto"/>
        <w:outlineLvl w:val="1"/>
        <w:rPr>
          <w:rFonts w:hint="default"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val="0"/>
        <w:spacing w:before="157" w:beforeLines="50" w:line="336" w:lineRule="auto"/>
        <w:ind w:firstLine="640" w:firstLineChars="200"/>
        <w:textAlignment w:val="auto"/>
        <w:outlineLvl w:val="1"/>
        <w:rPr>
          <w:rFonts w:hint="default" w:ascii="黑体" w:hAnsi="黑体" w:eastAsia="黑体" w:cs="黑体"/>
          <w:b w:val="0"/>
          <w:bCs w:val="0"/>
          <w:sz w:val="32"/>
          <w:szCs w:val="32"/>
        </w:rPr>
      </w:pPr>
      <w:r>
        <w:rPr>
          <w:rFonts w:hint="default" w:ascii="黑体" w:hAnsi="黑体" w:eastAsia="黑体" w:cs="黑体"/>
          <w:b w:val="0"/>
          <w:bCs w:val="0"/>
          <w:sz w:val="32"/>
          <w:szCs w:val="32"/>
        </w:rPr>
        <w:t>六、综合效益评估</w:t>
      </w:r>
      <w:bookmarkEnd w:id="0"/>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default" w:ascii="楷体_GB2312" w:hAnsi="楷体_GB2312" w:eastAsia="楷体_GB2312" w:cs="楷体_GB2312"/>
          <w:b w:val="0"/>
          <w:bCs w:val="0"/>
          <w:sz w:val="32"/>
          <w:szCs w:val="32"/>
        </w:rPr>
      </w:pPr>
      <w:bookmarkStart w:id="1" w:name="_Toc72190179"/>
      <w:r>
        <w:rPr>
          <w:rFonts w:hint="default" w:ascii="楷体_GB2312" w:hAnsi="楷体_GB2312" w:eastAsia="楷体_GB2312" w:cs="楷体_GB2312"/>
          <w:b w:val="0"/>
          <w:bCs w:val="0"/>
          <w:sz w:val="32"/>
          <w:szCs w:val="32"/>
        </w:rPr>
        <w:t>（一）土地利用效益评估</w:t>
      </w:r>
      <w:bookmarkEnd w:id="1"/>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通过土地征收成片开发，将有效推进用地节约集约利用，避免用地浪费，实现土地资源的合理配置。在布局优化方面，成片开发范围规划用地符合《中山市城市控制性详细规划实施办法》等相关规范导则要求，能够科学合理布局各类用地、优化区域功能结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default" w:ascii="楷体_GB2312" w:hAnsi="楷体_GB2312" w:eastAsia="楷体_GB2312" w:cs="楷体_GB2312"/>
          <w:b w:val="0"/>
          <w:bCs w:val="0"/>
          <w:sz w:val="32"/>
          <w:szCs w:val="32"/>
        </w:rPr>
      </w:pPr>
      <w:bookmarkStart w:id="2" w:name="_Toc72190180"/>
      <w:r>
        <w:rPr>
          <w:rFonts w:hint="default" w:ascii="楷体_GB2312" w:hAnsi="楷体_GB2312" w:eastAsia="楷体_GB2312" w:cs="楷体_GB2312"/>
          <w:b w:val="0"/>
          <w:bCs w:val="0"/>
          <w:sz w:val="32"/>
          <w:szCs w:val="32"/>
        </w:rPr>
        <w:t>（二）经济效益评估</w:t>
      </w:r>
      <w:bookmarkEnd w:id="2"/>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成片开发范围经济盈利能力和抗风险能力相对较强，预计可产生良好的经济效益。项目具有较强的辐射带动作用，能够与周边形成联动发展，改善投资环境促进规模化发展建设，推动经济社会高质量发展。</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default" w:ascii="楷体_GB2312" w:hAnsi="楷体_GB2312" w:eastAsia="楷体_GB2312" w:cs="楷体_GB2312"/>
          <w:b w:val="0"/>
          <w:bCs w:val="0"/>
          <w:sz w:val="32"/>
          <w:szCs w:val="32"/>
        </w:rPr>
      </w:pPr>
      <w:bookmarkStart w:id="3" w:name="_Toc72190181"/>
      <w:r>
        <w:rPr>
          <w:rFonts w:hint="default" w:ascii="楷体_GB2312" w:hAnsi="楷体_GB2312" w:eastAsia="楷体_GB2312" w:cs="楷体_GB2312"/>
          <w:b w:val="0"/>
          <w:bCs w:val="0"/>
          <w:sz w:val="32"/>
          <w:szCs w:val="32"/>
        </w:rPr>
        <w:t>（三）社会效益评估</w:t>
      </w:r>
      <w:bookmarkEnd w:id="3"/>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default" w:ascii="Times New Roman" w:hAnsi="Times New Roman" w:eastAsia="仿宋_GB2312" w:cs="Times New Roman"/>
          <w:sz w:val="32"/>
          <w:szCs w:val="32"/>
        </w:rPr>
        <w:t>、公共产品供给</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在完善生活设施配套方面，成片开发范围内公园绿地、道路设施等统筹建设，能够有效保障片区设施配套建设需求</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增加就业机会，吸引人口流入</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通过产业升级改造以及引进优质产业项目，统筹促进经济发展和就业增长的良性互动，扩大就业容量，创造大量就业岗位，促进常住人口数量增长，积极推进了新兴产业的发展，协同推动经济转型升级和就业民生改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带动地方、社会经济发展</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本次土地征收成片开发土地补偿费和安置补助费标准将按照《中山市人民政府关于公布实施征收农用地区片综合地价的公告》对被征地农民进行补偿。同时，区域基础设施配套提升完善，为城市提供了更多休憩、休闲空间，在带动社会经济发展中的作用越来越明显，能够使周边地区的地价及不动产升值，吸引投资，从而推动该区域的经济和社会发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outlineLvl w:val="2"/>
        <w:rPr>
          <w:rFonts w:hint="default" w:ascii="楷体_GB2312" w:hAnsi="楷体_GB2312" w:eastAsia="楷体_GB2312" w:cs="楷体_GB2312"/>
          <w:b w:val="0"/>
          <w:bCs w:val="0"/>
          <w:sz w:val="32"/>
          <w:szCs w:val="32"/>
        </w:rPr>
      </w:pPr>
      <w:bookmarkStart w:id="4" w:name="_Toc72190182"/>
      <w:r>
        <w:rPr>
          <w:rFonts w:hint="default" w:ascii="楷体_GB2312" w:hAnsi="楷体_GB2312" w:eastAsia="楷体_GB2312" w:cs="楷体_GB2312"/>
          <w:b w:val="0"/>
          <w:bCs w:val="0"/>
          <w:sz w:val="32"/>
          <w:szCs w:val="32"/>
        </w:rPr>
        <w:t>（四）生态效益评估</w:t>
      </w:r>
      <w:bookmarkEnd w:id="4"/>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rPr>
        <w:t>次成片开发建设，依托周围自然生态因素布置公共绿地、滨水平台等景观空间，增强微气候效应，形成以生态汇集、全民共享的公共绿地，能够有效提升生态景观效益、改善人居环境，为居民提供了绿色休闲生活场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val="0"/>
        <w:spacing w:line="336" w:lineRule="auto"/>
        <w:ind w:firstLine="640" w:firstLineChars="200"/>
        <w:textAlignment w:val="auto"/>
        <w:outlineLvl w:val="1"/>
        <w:rPr>
          <w:rFonts w:hint="default" w:ascii="黑体" w:hAnsi="黑体" w:eastAsia="黑体" w:cs="黑体"/>
          <w:b w:val="0"/>
          <w:bCs w:val="0"/>
          <w:sz w:val="32"/>
          <w:szCs w:val="32"/>
        </w:rPr>
      </w:pPr>
      <w:bookmarkStart w:id="5" w:name="_Toc72190184"/>
      <w:r>
        <w:rPr>
          <w:rFonts w:hint="default" w:ascii="黑体" w:hAnsi="黑体" w:eastAsia="黑体" w:cs="黑体"/>
          <w:b w:val="0"/>
          <w:bCs w:val="0"/>
          <w:sz w:val="32"/>
          <w:szCs w:val="32"/>
        </w:rPr>
        <w:t>七、结论</w:t>
      </w:r>
      <w:bookmarkEnd w:id="5"/>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综上所述，《</w:t>
      </w:r>
      <w:r>
        <w:rPr>
          <w:rFonts w:hint="eastAsia" w:ascii="Times New Roman" w:hAnsi="Times New Roman" w:eastAsia="仿宋_GB2312" w:cs="Times New Roman"/>
          <w:sz w:val="32"/>
          <w:szCs w:val="32"/>
        </w:rPr>
        <w:t>中山市石岐街道2023年度SQ14~SQ17地块土地征收成片开发方案</w:t>
      </w:r>
      <w:r>
        <w:rPr>
          <w:rFonts w:hint="default" w:ascii="Times New Roman" w:hAnsi="Times New Roman" w:eastAsia="仿宋_GB2312" w:cs="Times New Roman"/>
          <w:sz w:val="32"/>
          <w:szCs w:val="32"/>
        </w:rPr>
        <w:t>》符合《自然资源部关于印发&lt;土地征收成片开发标准（试行）&gt;的通知》（自然资规〔2020〕5号））</w:t>
      </w:r>
      <w:r>
        <w:rPr>
          <w:rFonts w:hint="eastAsia" w:ascii="Times New Roman" w:hAnsi="Times New Roman" w:eastAsia="仿宋_GB2312" w:cs="Times New Roman"/>
          <w:sz w:val="32"/>
          <w:szCs w:val="32"/>
        </w:rPr>
        <w:t>以及《广东省自然资源厅关于规范土地征收成片开发工作的通知》（粤自然资发〔</w:t>
      </w:r>
      <w:r>
        <w:rPr>
          <w:rFonts w:hint="default"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号）等相关文件</w:t>
      </w:r>
      <w:r>
        <w:rPr>
          <w:rFonts w:hint="default" w:ascii="Times New Roman" w:hAnsi="Times New Roman" w:eastAsia="仿宋_GB2312" w:cs="Times New Roman"/>
          <w:sz w:val="32"/>
          <w:szCs w:val="32"/>
        </w:rPr>
        <w:t>的要求。</w:t>
      </w:r>
    </w:p>
    <w:p>
      <w:pPr>
        <w:widowControl/>
        <w:jc w:val="left"/>
        <w:rPr>
          <w:rFonts w:eastAsia="仿宋_GB2312"/>
          <w:b/>
          <w:bCs/>
          <w:sz w:val="32"/>
          <w:szCs w:val="32"/>
        </w:rPr>
      </w:pPr>
      <w:r>
        <w:rPr>
          <w:rFonts w:eastAsia="仿宋_GB2312"/>
          <w:b/>
          <w:bCs/>
          <w:sz w:val="32"/>
          <w:szCs w:val="32"/>
        </w:rPr>
        <w:br w:type="page"/>
      </w:r>
    </w:p>
    <w:p>
      <w:pPr>
        <w:keepNext w:val="0"/>
        <w:keepLines w:val="0"/>
        <w:pageBreakBefore w:val="0"/>
        <w:widowControl/>
        <w:kinsoku/>
        <w:wordWrap/>
        <w:overflowPunct/>
        <w:topLinePunct w:val="0"/>
        <w:autoSpaceDE/>
        <w:autoSpaceDN/>
        <w:bidi w:val="0"/>
        <w:adjustRightInd/>
        <w:snapToGrid w:val="0"/>
        <w:spacing w:line="336" w:lineRule="auto"/>
        <w:ind w:firstLine="960" w:firstLineChars="3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附</w:t>
      </w:r>
      <w:r>
        <w:rPr>
          <w:rFonts w:hint="eastAsia" w:eastAsia="仿宋_GB2312" w:cs="Times New Roman"/>
          <w:b w:val="0"/>
          <w:bCs w:val="0"/>
          <w:sz w:val="32"/>
          <w:szCs w:val="32"/>
          <w:lang w:val="en-US" w:eastAsia="zh-CN"/>
        </w:rPr>
        <w:t>件</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1.中山市石岐街道2023年度SQ14~SQ17地块土地征收成片开发地块位置示意图</w:t>
      </w:r>
    </w:p>
    <w:p>
      <w:pPr>
        <w:keepNext w:val="0"/>
        <w:keepLines w:val="0"/>
        <w:pageBreakBefore w:val="0"/>
        <w:kinsoku/>
        <w:wordWrap/>
        <w:overflowPunct/>
        <w:topLinePunct w:val="0"/>
        <w:autoSpaceDE/>
        <w:autoSpaceDN/>
        <w:bidi w:val="0"/>
        <w:adjustRightInd/>
        <w:snapToGrid w:val="0"/>
        <w:spacing w:line="336" w:lineRule="auto"/>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2.中山市石岐街道2023年度SQ14~SQ17地块土地征收成片开发范围开发时序图</w:t>
      </w:r>
    </w:p>
    <w:p>
      <w:pPr>
        <w:rPr>
          <w:rFonts w:eastAsia="仿宋_GB2312"/>
          <w:sz w:val="28"/>
          <w:szCs w:val="28"/>
        </w:rPr>
        <w:sectPr>
          <w:footerReference r:id="rId3" w:type="default"/>
          <w:pgSz w:w="11906" w:h="16838"/>
          <w:pgMar w:top="2211" w:right="1531" w:bottom="1871" w:left="1531" w:header="851" w:footer="992" w:gutter="0"/>
          <w:pgNumType w:start="1"/>
          <w:cols w:space="425" w:num="1"/>
          <w:docGrid w:type="lines" w:linePitch="312" w:charSpace="0"/>
        </w:sectPr>
      </w:pPr>
    </w:p>
    <w:p>
      <w:pPr>
        <w:jc w:val="left"/>
        <w:rPr>
          <w:rFonts w:eastAsia="仿宋_GB2312"/>
        </w:rPr>
      </w:pPr>
      <w:r>
        <w:rPr>
          <w:rFonts w:eastAsia="仿宋_GB2312"/>
          <w:sz w:val="28"/>
          <w:szCs w:val="28"/>
        </w:rPr>
        <w:t>附</w:t>
      </w:r>
      <w:r>
        <w:rPr>
          <w:rFonts w:hint="eastAsia" w:eastAsia="仿宋_GB2312"/>
          <w:sz w:val="28"/>
          <w:szCs w:val="28"/>
          <w:lang w:val="en-US" w:eastAsia="zh-CN"/>
        </w:rPr>
        <w:t>件</w:t>
      </w:r>
      <w:r>
        <w:rPr>
          <w:rFonts w:eastAsia="仿宋_GB2312"/>
          <w:sz w:val="28"/>
          <w:szCs w:val="28"/>
        </w:rPr>
        <w:t>1 .</w:t>
      </w:r>
      <w:r>
        <w:rPr>
          <w:rFonts w:hint="eastAsia" w:eastAsia="仿宋_GB2312"/>
          <w:sz w:val="28"/>
          <w:szCs w:val="28"/>
        </w:rPr>
        <w:t>中山市石岐街道2023年度SQ14~SQ17地块土地征收成片开发地块位置示意图</w:t>
      </w:r>
    </w:p>
    <w:p>
      <w:pPr>
        <w:jc w:val="center"/>
        <w:rPr>
          <w:rFonts w:eastAsia="仿宋_GB2312"/>
          <w:sz w:val="32"/>
          <w:szCs w:val="32"/>
        </w:rPr>
      </w:pPr>
      <w:r>
        <w:rPr>
          <w:rFonts w:hint="eastAsia" w:eastAsia="仿宋_GB2312"/>
        </w:rPr>
        <w:drawing>
          <wp:inline distT="0" distB="0" distL="114300" distR="114300">
            <wp:extent cx="7116445" cy="4662170"/>
            <wp:effectExtent l="0" t="0" r="8255" b="5080"/>
            <wp:docPr id="2" name="图片 2" descr="D:\工作\成片开发\2023石岐成片开发\出图\文本图\位置示意图.jpg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工作\成片开发\2023石岐成片开发\出图\文本图\位置示意图.jpg位置示意图"/>
                    <pic:cNvPicPr>
                      <a:picLocks noChangeAspect="1"/>
                    </pic:cNvPicPr>
                  </pic:nvPicPr>
                  <pic:blipFill>
                    <a:blip r:embed="rId5"/>
                    <a:srcRect b="7427"/>
                    <a:stretch>
                      <a:fillRect/>
                    </a:stretch>
                  </pic:blipFill>
                  <pic:spPr>
                    <a:xfrm>
                      <a:off x="0" y="0"/>
                      <a:ext cx="7116445" cy="4662170"/>
                    </a:xfrm>
                    <a:prstGeom prst="rect">
                      <a:avLst/>
                    </a:prstGeom>
                  </pic:spPr>
                </pic:pic>
              </a:graphicData>
            </a:graphic>
          </wp:inline>
        </w:drawing>
      </w:r>
    </w:p>
    <w:p>
      <w:pPr>
        <w:jc w:val="left"/>
      </w:pPr>
      <w:r>
        <w:rPr>
          <w:rFonts w:eastAsia="仿宋_GB2312"/>
          <w:sz w:val="28"/>
          <w:szCs w:val="28"/>
        </w:rPr>
        <w:t>附</w:t>
      </w:r>
      <w:r>
        <w:rPr>
          <w:rFonts w:hint="eastAsia" w:eastAsia="仿宋_GB2312"/>
          <w:sz w:val="28"/>
          <w:szCs w:val="28"/>
          <w:lang w:val="en-US" w:eastAsia="zh-CN"/>
        </w:rPr>
        <w:t>件</w:t>
      </w:r>
      <w:r>
        <w:rPr>
          <w:rFonts w:eastAsia="仿宋_GB2312"/>
          <w:sz w:val="28"/>
          <w:szCs w:val="28"/>
        </w:rPr>
        <w:t>2.</w:t>
      </w:r>
      <w:r>
        <w:rPr>
          <w:rFonts w:hint="eastAsia" w:eastAsia="仿宋_GB2312"/>
          <w:sz w:val="28"/>
          <w:szCs w:val="28"/>
        </w:rPr>
        <w:t>中山市</w:t>
      </w:r>
      <w:r>
        <w:rPr>
          <w:rFonts w:hint="eastAsia" w:eastAsia="仿宋_GB2312"/>
          <w:sz w:val="28"/>
          <w:szCs w:val="28"/>
          <w:lang w:val="en-US" w:eastAsia="zh-CN"/>
        </w:rPr>
        <w:t>石岐</w:t>
      </w:r>
      <w:r>
        <w:rPr>
          <w:rFonts w:hint="eastAsia" w:eastAsia="仿宋_GB2312"/>
          <w:sz w:val="28"/>
          <w:szCs w:val="28"/>
        </w:rPr>
        <w:t>街道2023年度SQ14~SQ17地块土地征收成片开发范围开发时序图</w:t>
      </w:r>
    </w:p>
    <w:p>
      <w:pPr>
        <w:jc w:val="center"/>
        <w:rPr>
          <w:rFonts w:hint="eastAsia"/>
        </w:rPr>
      </w:pPr>
    </w:p>
    <w:p>
      <w:pPr>
        <w:jc w:val="center"/>
        <w:rPr>
          <w:rFonts w:eastAsia="仿宋_GB2312"/>
        </w:rPr>
      </w:pPr>
      <w:r>
        <w:rPr>
          <w:rFonts w:hint="eastAsia"/>
        </w:rPr>
        <w:drawing>
          <wp:inline distT="0" distB="0" distL="114300" distR="114300">
            <wp:extent cx="6900545" cy="4533265"/>
            <wp:effectExtent l="0" t="0" r="14605" b="635"/>
            <wp:docPr id="4" name="图片 4" descr="D:\工作\成片开发\2023石岐成片开发\出图\文本图\开发时序图.jpg开发时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工作\成片开发\2023石岐成片开发\出图\文本图\开发时序图.jpg开发时序图"/>
                    <pic:cNvPicPr>
                      <a:picLocks noChangeAspect="1"/>
                    </pic:cNvPicPr>
                  </pic:nvPicPr>
                  <pic:blipFill>
                    <a:blip r:embed="rId6"/>
                    <a:srcRect b="7166"/>
                    <a:stretch>
                      <a:fillRect/>
                    </a:stretch>
                  </pic:blipFill>
                  <pic:spPr>
                    <a:xfrm>
                      <a:off x="0" y="0"/>
                      <a:ext cx="6900545" cy="4533265"/>
                    </a:xfrm>
                    <a:prstGeom prst="rect">
                      <a:avLst/>
                    </a:prstGeom>
                  </pic:spPr>
                </pic:pic>
              </a:graphicData>
            </a:graphic>
          </wp:inline>
        </w:drawing>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8192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N2Q2NDg2NDAwYmNjMzc3NTI3YTg4M2IxMWI0ZDkifQ=="/>
    <w:docVar w:name="KSO_WPS_MARK_KEY" w:val="2047d71f-3537-4e63-8b54-85db08c9fc44"/>
  </w:docVars>
  <w:rsids>
    <w:rsidRoot w:val="00C535A2"/>
    <w:rsid w:val="00005465"/>
    <w:rsid w:val="0000783A"/>
    <w:rsid w:val="0001135C"/>
    <w:rsid w:val="00024777"/>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27CB1"/>
    <w:rsid w:val="00331D9A"/>
    <w:rsid w:val="003433C6"/>
    <w:rsid w:val="00354383"/>
    <w:rsid w:val="003732F2"/>
    <w:rsid w:val="00377DD0"/>
    <w:rsid w:val="00380A77"/>
    <w:rsid w:val="00385C43"/>
    <w:rsid w:val="00392EB5"/>
    <w:rsid w:val="00397F07"/>
    <w:rsid w:val="003A5A2E"/>
    <w:rsid w:val="003B5DC8"/>
    <w:rsid w:val="003C2087"/>
    <w:rsid w:val="003E4CA7"/>
    <w:rsid w:val="003F2A32"/>
    <w:rsid w:val="004068D3"/>
    <w:rsid w:val="00420D27"/>
    <w:rsid w:val="00423630"/>
    <w:rsid w:val="004279A7"/>
    <w:rsid w:val="004331E8"/>
    <w:rsid w:val="00433D78"/>
    <w:rsid w:val="0043767B"/>
    <w:rsid w:val="00445471"/>
    <w:rsid w:val="00466EBD"/>
    <w:rsid w:val="00471535"/>
    <w:rsid w:val="004746F6"/>
    <w:rsid w:val="004776B6"/>
    <w:rsid w:val="004805A2"/>
    <w:rsid w:val="0048240F"/>
    <w:rsid w:val="00497873"/>
    <w:rsid w:val="004A0829"/>
    <w:rsid w:val="004A1BFB"/>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454A"/>
    <w:rsid w:val="005E0AA6"/>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2A98"/>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FF6"/>
    <w:rsid w:val="008A66E9"/>
    <w:rsid w:val="008C6025"/>
    <w:rsid w:val="008D5C23"/>
    <w:rsid w:val="008D6DC4"/>
    <w:rsid w:val="008E4C17"/>
    <w:rsid w:val="008E7A68"/>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21E9B"/>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E5E85"/>
    <w:rsid w:val="00CF0754"/>
    <w:rsid w:val="00CF46D3"/>
    <w:rsid w:val="00D022CC"/>
    <w:rsid w:val="00D12F19"/>
    <w:rsid w:val="00D26390"/>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24054"/>
    <w:rsid w:val="00F35CAB"/>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114787"/>
    <w:rsid w:val="012E3A48"/>
    <w:rsid w:val="015B6D94"/>
    <w:rsid w:val="01B66E93"/>
    <w:rsid w:val="02391766"/>
    <w:rsid w:val="024C492F"/>
    <w:rsid w:val="025F28B4"/>
    <w:rsid w:val="02D60912"/>
    <w:rsid w:val="031E451D"/>
    <w:rsid w:val="03451AAA"/>
    <w:rsid w:val="035C5045"/>
    <w:rsid w:val="037B196F"/>
    <w:rsid w:val="03962305"/>
    <w:rsid w:val="03DE5A5A"/>
    <w:rsid w:val="0437692F"/>
    <w:rsid w:val="0449381C"/>
    <w:rsid w:val="04536448"/>
    <w:rsid w:val="0477794E"/>
    <w:rsid w:val="04CC1D57"/>
    <w:rsid w:val="05091A55"/>
    <w:rsid w:val="052B4CCF"/>
    <w:rsid w:val="059243C7"/>
    <w:rsid w:val="05C0795A"/>
    <w:rsid w:val="05EC26B0"/>
    <w:rsid w:val="06100B18"/>
    <w:rsid w:val="0627193B"/>
    <w:rsid w:val="06A6368C"/>
    <w:rsid w:val="06C62F02"/>
    <w:rsid w:val="06CE625A"/>
    <w:rsid w:val="06EE72F8"/>
    <w:rsid w:val="07181283"/>
    <w:rsid w:val="075A76A2"/>
    <w:rsid w:val="07CD206E"/>
    <w:rsid w:val="07DA5D9B"/>
    <w:rsid w:val="08031F33"/>
    <w:rsid w:val="082B0284"/>
    <w:rsid w:val="08843074"/>
    <w:rsid w:val="08C276F9"/>
    <w:rsid w:val="08EA7114"/>
    <w:rsid w:val="09390790"/>
    <w:rsid w:val="095F3199"/>
    <w:rsid w:val="098F7F23"/>
    <w:rsid w:val="099D5E06"/>
    <w:rsid w:val="09AA6B0A"/>
    <w:rsid w:val="09C15C02"/>
    <w:rsid w:val="0A0F2E11"/>
    <w:rsid w:val="0A4A209B"/>
    <w:rsid w:val="0A4F76B2"/>
    <w:rsid w:val="0A583896"/>
    <w:rsid w:val="0A9E51BA"/>
    <w:rsid w:val="0ABD3C43"/>
    <w:rsid w:val="0ADD1EE6"/>
    <w:rsid w:val="0B0B7215"/>
    <w:rsid w:val="0BF277E3"/>
    <w:rsid w:val="0C012C2E"/>
    <w:rsid w:val="0C0B585A"/>
    <w:rsid w:val="0C3065D4"/>
    <w:rsid w:val="0C817F17"/>
    <w:rsid w:val="0CA02733"/>
    <w:rsid w:val="0CAE44D7"/>
    <w:rsid w:val="0CD0112D"/>
    <w:rsid w:val="0CDC7A5E"/>
    <w:rsid w:val="0D041C65"/>
    <w:rsid w:val="0D170DD3"/>
    <w:rsid w:val="0D927FE1"/>
    <w:rsid w:val="0DAE649D"/>
    <w:rsid w:val="0DE6032D"/>
    <w:rsid w:val="0E230C39"/>
    <w:rsid w:val="0ED4462A"/>
    <w:rsid w:val="0EE556B6"/>
    <w:rsid w:val="0F4C5F6E"/>
    <w:rsid w:val="0F5F3EF3"/>
    <w:rsid w:val="0F875AE2"/>
    <w:rsid w:val="0F9A13CF"/>
    <w:rsid w:val="0FC06569"/>
    <w:rsid w:val="0FC85936"/>
    <w:rsid w:val="0FE20680"/>
    <w:rsid w:val="0FF7412C"/>
    <w:rsid w:val="100A6CC9"/>
    <w:rsid w:val="10466E61"/>
    <w:rsid w:val="10864733"/>
    <w:rsid w:val="108B0D18"/>
    <w:rsid w:val="10B96DCF"/>
    <w:rsid w:val="10EF7542"/>
    <w:rsid w:val="111725AC"/>
    <w:rsid w:val="11AF6FAB"/>
    <w:rsid w:val="122A7862"/>
    <w:rsid w:val="12AB56A1"/>
    <w:rsid w:val="130A34FE"/>
    <w:rsid w:val="133D22DF"/>
    <w:rsid w:val="134D6B6A"/>
    <w:rsid w:val="13545D39"/>
    <w:rsid w:val="136C39EE"/>
    <w:rsid w:val="138A52B7"/>
    <w:rsid w:val="13946135"/>
    <w:rsid w:val="13957657"/>
    <w:rsid w:val="139B5716"/>
    <w:rsid w:val="141D2158"/>
    <w:rsid w:val="142B4CEC"/>
    <w:rsid w:val="148B1F5D"/>
    <w:rsid w:val="14BB6070"/>
    <w:rsid w:val="14CB202B"/>
    <w:rsid w:val="14CF38C9"/>
    <w:rsid w:val="15194B44"/>
    <w:rsid w:val="15783F91"/>
    <w:rsid w:val="159266A5"/>
    <w:rsid w:val="15DB1E4F"/>
    <w:rsid w:val="15EA028F"/>
    <w:rsid w:val="162514E2"/>
    <w:rsid w:val="16321ADC"/>
    <w:rsid w:val="163C2256"/>
    <w:rsid w:val="164B3423"/>
    <w:rsid w:val="167B3E10"/>
    <w:rsid w:val="16816E45"/>
    <w:rsid w:val="16970417"/>
    <w:rsid w:val="16EB0E9F"/>
    <w:rsid w:val="178503CB"/>
    <w:rsid w:val="17B9260F"/>
    <w:rsid w:val="17BB0135"/>
    <w:rsid w:val="17BF5E77"/>
    <w:rsid w:val="183A374F"/>
    <w:rsid w:val="187D363C"/>
    <w:rsid w:val="18AC1C26"/>
    <w:rsid w:val="18B352B0"/>
    <w:rsid w:val="18BF5A03"/>
    <w:rsid w:val="18F25DD8"/>
    <w:rsid w:val="18F554CB"/>
    <w:rsid w:val="19112EC7"/>
    <w:rsid w:val="192D03A2"/>
    <w:rsid w:val="196B7938"/>
    <w:rsid w:val="198E0B5B"/>
    <w:rsid w:val="199959EE"/>
    <w:rsid w:val="19AD1CFF"/>
    <w:rsid w:val="19D0691C"/>
    <w:rsid w:val="19DD2D01"/>
    <w:rsid w:val="1A0F6516"/>
    <w:rsid w:val="1A571927"/>
    <w:rsid w:val="1A61445B"/>
    <w:rsid w:val="1A7647E7"/>
    <w:rsid w:val="1AD60012"/>
    <w:rsid w:val="1AEB099E"/>
    <w:rsid w:val="1B043BA1"/>
    <w:rsid w:val="1B3527CE"/>
    <w:rsid w:val="1B5A7DEF"/>
    <w:rsid w:val="1B6F54BE"/>
    <w:rsid w:val="1BAF1D5E"/>
    <w:rsid w:val="1BCC108E"/>
    <w:rsid w:val="1BE23517"/>
    <w:rsid w:val="1C077DEC"/>
    <w:rsid w:val="1C0C71B1"/>
    <w:rsid w:val="1C35495A"/>
    <w:rsid w:val="1C3E3908"/>
    <w:rsid w:val="1C536B8E"/>
    <w:rsid w:val="1CC62DE7"/>
    <w:rsid w:val="1D3A7D4E"/>
    <w:rsid w:val="1DA63635"/>
    <w:rsid w:val="1DAE4992"/>
    <w:rsid w:val="1DB96EC4"/>
    <w:rsid w:val="1DD65CC8"/>
    <w:rsid w:val="1E29229C"/>
    <w:rsid w:val="1EE11DD2"/>
    <w:rsid w:val="1EEE7042"/>
    <w:rsid w:val="1F136AA8"/>
    <w:rsid w:val="1F1C595D"/>
    <w:rsid w:val="1F220A99"/>
    <w:rsid w:val="1F2B3DF2"/>
    <w:rsid w:val="1F33644B"/>
    <w:rsid w:val="1F422EEA"/>
    <w:rsid w:val="1F58270D"/>
    <w:rsid w:val="1F861028"/>
    <w:rsid w:val="1F9F20EA"/>
    <w:rsid w:val="1FCC483D"/>
    <w:rsid w:val="1FD46237"/>
    <w:rsid w:val="1FF0209D"/>
    <w:rsid w:val="201523AC"/>
    <w:rsid w:val="203C5B8B"/>
    <w:rsid w:val="204A1CA1"/>
    <w:rsid w:val="204D1B46"/>
    <w:rsid w:val="20EA55E7"/>
    <w:rsid w:val="212068EC"/>
    <w:rsid w:val="21333432"/>
    <w:rsid w:val="21BB208F"/>
    <w:rsid w:val="21CD73E2"/>
    <w:rsid w:val="221E19EC"/>
    <w:rsid w:val="223E3E3C"/>
    <w:rsid w:val="22421B7E"/>
    <w:rsid w:val="225B5797"/>
    <w:rsid w:val="22B440FE"/>
    <w:rsid w:val="22BF2BE2"/>
    <w:rsid w:val="22D402FC"/>
    <w:rsid w:val="22E83DA8"/>
    <w:rsid w:val="22EC5AE9"/>
    <w:rsid w:val="22F336FA"/>
    <w:rsid w:val="239F6B5C"/>
    <w:rsid w:val="23FC7B0B"/>
    <w:rsid w:val="24102108"/>
    <w:rsid w:val="2426052F"/>
    <w:rsid w:val="246102B6"/>
    <w:rsid w:val="246B15B2"/>
    <w:rsid w:val="24AD52A9"/>
    <w:rsid w:val="24C30629"/>
    <w:rsid w:val="24CD2C84"/>
    <w:rsid w:val="24CF3471"/>
    <w:rsid w:val="24EA02AB"/>
    <w:rsid w:val="24EF7F00"/>
    <w:rsid w:val="25016F4E"/>
    <w:rsid w:val="25052E0F"/>
    <w:rsid w:val="251B0465"/>
    <w:rsid w:val="25341526"/>
    <w:rsid w:val="255E0351"/>
    <w:rsid w:val="25D11850"/>
    <w:rsid w:val="25EE7927"/>
    <w:rsid w:val="26413EFB"/>
    <w:rsid w:val="26700B3E"/>
    <w:rsid w:val="26A85D28"/>
    <w:rsid w:val="27160EE4"/>
    <w:rsid w:val="272F6449"/>
    <w:rsid w:val="276734AD"/>
    <w:rsid w:val="27806CA5"/>
    <w:rsid w:val="27A6670B"/>
    <w:rsid w:val="2824787C"/>
    <w:rsid w:val="28291CBC"/>
    <w:rsid w:val="283C4ED8"/>
    <w:rsid w:val="28537F15"/>
    <w:rsid w:val="28697739"/>
    <w:rsid w:val="28760B56"/>
    <w:rsid w:val="287700A8"/>
    <w:rsid w:val="28C826B1"/>
    <w:rsid w:val="29565F0F"/>
    <w:rsid w:val="29A32996"/>
    <w:rsid w:val="2A1262DA"/>
    <w:rsid w:val="2A17569E"/>
    <w:rsid w:val="2A3C5105"/>
    <w:rsid w:val="2AB54EB7"/>
    <w:rsid w:val="2AC82E3D"/>
    <w:rsid w:val="2B211383"/>
    <w:rsid w:val="2B603075"/>
    <w:rsid w:val="2B612949"/>
    <w:rsid w:val="2BBD4024"/>
    <w:rsid w:val="2BD10CEF"/>
    <w:rsid w:val="2BD31A99"/>
    <w:rsid w:val="2C3A43A6"/>
    <w:rsid w:val="2C6C77F8"/>
    <w:rsid w:val="2C76251F"/>
    <w:rsid w:val="2CD05FD9"/>
    <w:rsid w:val="2CEA709A"/>
    <w:rsid w:val="2D2B1461"/>
    <w:rsid w:val="2D2F4B7E"/>
    <w:rsid w:val="2D3E2F42"/>
    <w:rsid w:val="2D4F33A1"/>
    <w:rsid w:val="2DF87595"/>
    <w:rsid w:val="2E2B796A"/>
    <w:rsid w:val="2E382087"/>
    <w:rsid w:val="2E756E38"/>
    <w:rsid w:val="2EC456C9"/>
    <w:rsid w:val="2EE62640"/>
    <w:rsid w:val="2F01691D"/>
    <w:rsid w:val="2F0F103A"/>
    <w:rsid w:val="2F3621B9"/>
    <w:rsid w:val="2F9B68F6"/>
    <w:rsid w:val="2FC736C3"/>
    <w:rsid w:val="300E30A0"/>
    <w:rsid w:val="302C5C1C"/>
    <w:rsid w:val="30534F57"/>
    <w:rsid w:val="30BC0D4E"/>
    <w:rsid w:val="30C561C8"/>
    <w:rsid w:val="31010E56"/>
    <w:rsid w:val="311A1F18"/>
    <w:rsid w:val="31215055"/>
    <w:rsid w:val="31273F18"/>
    <w:rsid w:val="31413001"/>
    <w:rsid w:val="316D35E7"/>
    <w:rsid w:val="31796C3F"/>
    <w:rsid w:val="318B0720"/>
    <w:rsid w:val="319A0963"/>
    <w:rsid w:val="31F467E5"/>
    <w:rsid w:val="32017C6B"/>
    <w:rsid w:val="32607DFF"/>
    <w:rsid w:val="32A777DC"/>
    <w:rsid w:val="336851BD"/>
    <w:rsid w:val="33A1247D"/>
    <w:rsid w:val="33A65CE5"/>
    <w:rsid w:val="33D8367D"/>
    <w:rsid w:val="341669C7"/>
    <w:rsid w:val="34790D04"/>
    <w:rsid w:val="34BA1818"/>
    <w:rsid w:val="34EC7728"/>
    <w:rsid w:val="357A4D33"/>
    <w:rsid w:val="35867B7C"/>
    <w:rsid w:val="359E3B85"/>
    <w:rsid w:val="35B20971"/>
    <w:rsid w:val="35C3056F"/>
    <w:rsid w:val="35D408E8"/>
    <w:rsid w:val="35DA3A24"/>
    <w:rsid w:val="35EB5C31"/>
    <w:rsid w:val="35EF5721"/>
    <w:rsid w:val="361C5DEB"/>
    <w:rsid w:val="3652180C"/>
    <w:rsid w:val="3669267B"/>
    <w:rsid w:val="372633C5"/>
    <w:rsid w:val="373408F6"/>
    <w:rsid w:val="37555A58"/>
    <w:rsid w:val="37732382"/>
    <w:rsid w:val="37E1109A"/>
    <w:rsid w:val="37E56DDC"/>
    <w:rsid w:val="37F963E3"/>
    <w:rsid w:val="38082ACA"/>
    <w:rsid w:val="38664899"/>
    <w:rsid w:val="38AE3672"/>
    <w:rsid w:val="38DE55D9"/>
    <w:rsid w:val="38E26F5B"/>
    <w:rsid w:val="396C0E37"/>
    <w:rsid w:val="39B60304"/>
    <w:rsid w:val="39E76710"/>
    <w:rsid w:val="3A0F6392"/>
    <w:rsid w:val="3A157721"/>
    <w:rsid w:val="3A340F4B"/>
    <w:rsid w:val="3A4D3507"/>
    <w:rsid w:val="3A7B3A28"/>
    <w:rsid w:val="3A7C154E"/>
    <w:rsid w:val="3A816B64"/>
    <w:rsid w:val="3AA840F1"/>
    <w:rsid w:val="3AB02FA5"/>
    <w:rsid w:val="3ADC3D29"/>
    <w:rsid w:val="3AE3337B"/>
    <w:rsid w:val="3B077069"/>
    <w:rsid w:val="3B5F70BA"/>
    <w:rsid w:val="3B691AD2"/>
    <w:rsid w:val="3B954D20"/>
    <w:rsid w:val="3C61318A"/>
    <w:rsid w:val="3C7805A2"/>
    <w:rsid w:val="3C7C3A87"/>
    <w:rsid w:val="3CD73ACF"/>
    <w:rsid w:val="3D0C4E0B"/>
    <w:rsid w:val="3D494E46"/>
    <w:rsid w:val="3DB66B25"/>
    <w:rsid w:val="3DC7317B"/>
    <w:rsid w:val="3DCB6A74"/>
    <w:rsid w:val="3E1929C1"/>
    <w:rsid w:val="3E4B54BF"/>
    <w:rsid w:val="3E615280"/>
    <w:rsid w:val="3E9E0F99"/>
    <w:rsid w:val="3ED26D52"/>
    <w:rsid w:val="3F4E528D"/>
    <w:rsid w:val="3F632CDC"/>
    <w:rsid w:val="3F696545"/>
    <w:rsid w:val="3F6F51DD"/>
    <w:rsid w:val="3FB03CE3"/>
    <w:rsid w:val="3FCD150A"/>
    <w:rsid w:val="3FDC1BDA"/>
    <w:rsid w:val="3FDF05B5"/>
    <w:rsid w:val="40186C21"/>
    <w:rsid w:val="404448BC"/>
    <w:rsid w:val="404B79F8"/>
    <w:rsid w:val="40776A3F"/>
    <w:rsid w:val="40A330A5"/>
    <w:rsid w:val="40E913D4"/>
    <w:rsid w:val="41175B2C"/>
    <w:rsid w:val="41557F55"/>
    <w:rsid w:val="4182569C"/>
    <w:rsid w:val="420C765B"/>
    <w:rsid w:val="42867CC7"/>
    <w:rsid w:val="42AE2416"/>
    <w:rsid w:val="42BC0202"/>
    <w:rsid w:val="42D00689"/>
    <w:rsid w:val="42D02437"/>
    <w:rsid w:val="42E3660E"/>
    <w:rsid w:val="431C0670"/>
    <w:rsid w:val="434541E2"/>
    <w:rsid w:val="434E2B29"/>
    <w:rsid w:val="43D9531B"/>
    <w:rsid w:val="43DE6DD5"/>
    <w:rsid w:val="440E3BC2"/>
    <w:rsid w:val="44597DE4"/>
    <w:rsid w:val="44BA6EFA"/>
    <w:rsid w:val="44DF2E05"/>
    <w:rsid w:val="44EF0F09"/>
    <w:rsid w:val="45682DFA"/>
    <w:rsid w:val="45AC3014"/>
    <w:rsid w:val="45C76627"/>
    <w:rsid w:val="462A00B0"/>
    <w:rsid w:val="464C44CA"/>
    <w:rsid w:val="466A5972"/>
    <w:rsid w:val="468402C4"/>
    <w:rsid w:val="46854A56"/>
    <w:rsid w:val="46A61E2C"/>
    <w:rsid w:val="46C73B51"/>
    <w:rsid w:val="46E30D8F"/>
    <w:rsid w:val="46EC35B7"/>
    <w:rsid w:val="46F3609A"/>
    <w:rsid w:val="471825FE"/>
    <w:rsid w:val="47815AC5"/>
    <w:rsid w:val="47FC6E6D"/>
    <w:rsid w:val="484F7A1A"/>
    <w:rsid w:val="49011778"/>
    <w:rsid w:val="49393E12"/>
    <w:rsid w:val="4942391C"/>
    <w:rsid w:val="498A2D68"/>
    <w:rsid w:val="49B1034B"/>
    <w:rsid w:val="4A0F7CE8"/>
    <w:rsid w:val="4A29738A"/>
    <w:rsid w:val="4A427EE8"/>
    <w:rsid w:val="4A776687"/>
    <w:rsid w:val="4AC00FE3"/>
    <w:rsid w:val="4B105AC6"/>
    <w:rsid w:val="4B2459A4"/>
    <w:rsid w:val="4B6202EC"/>
    <w:rsid w:val="4B62209A"/>
    <w:rsid w:val="4B8D42E2"/>
    <w:rsid w:val="4BDA3825"/>
    <w:rsid w:val="4C017B05"/>
    <w:rsid w:val="4C26756B"/>
    <w:rsid w:val="4C341E7A"/>
    <w:rsid w:val="4C3E2B07"/>
    <w:rsid w:val="4CCE105B"/>
    <w:rsid w:val="4DC9456E"/>
    <w:rsid w:val="4DF07E31"/>
    <w:rsid w:val="4DF80A94"/>
    <w:rsid w:val="4E015B9A"/>
    <w:rsid w:val="4E094EF3"/>
    <w:rsid w:val="4EB62E28"/>
    <w:rsid w:val="4ECC61A8"/>
    <w:rsid w:val="4EE2777A"/>
    <w:rsid w:val="4EE96D5A"/>
    <w:rsid w:val="4EEB32EF"/>
    <w:rsid w:val="4F2002A2"/>
    <w:rsid w:val="4F36690F"/>
    <w:rsid w:val="4F604B42"/>
    <w:rsid w:val="4F610FE6"/>
    <w:rsid w:val="4F6E54B1"/>
    <w:rsid w:val="4F960564"/>
    <w:rsid w:val="4F9F38BD"/>
    <w:rsid w:val="4FA26F09"/>
    <w:rsid w:val="4FAD422B"/>
    <w:rsid w:val="4FB32C3B"/>
    <w:rsid w:val="4FB37B89"/>
    <w:rsid w:val="4FC60E49"/>
    <w:rsid w:val="50710EEF"/>
    <w:rsid w:val="508D5E0B"/>
    <w:rsid w:val="50951CC6"/>
    <w:rsid w:val="50A76ECD"/>
    <w:rsid w:val="50BD1C2B"/>
    <w:rsid w:val="50C555A5"/>
    <w:rsid w:val="50D37CC2"/>
    <w:rsid w:val="50F6575E"/>
    <w:rsid w:val="51723C49"/>
    <w:rsid w:val="51D13AD5"/>
    <w:rsid w:val="51F534B8"/>
    <w:rsid w:val="52102923"/>
    <w:rsid w:val="52157E66"/>
    <w:rsid w:val="52177EC2"/>
    <w:rsid w:val="523F42ED"/>
    <w:rsid w:val="527F3531"/>
    <w:rsid w:val="52992845"/>
    <w:rsid w:val="529C40E3"/>
    <w:rsid w:val="52BC6534"/>
    <w:rsid w:val="52C308D8"/>
    <w:rsid w:val="531445C2"/>
    <w:rsid w:val="53301F7C"/>
    <w:rsid w:val="53397B84"/>
    <w:rsid w:val="534F73A8"/>
    <w:rsid w:val="535B5D4C"/>
    <w:rsid w:val="53603363"/>
    <w:rsid w:val="538A6632"/>
    <w:rsid w:val="538B7A05"/>
    <w:rsid w:val="53AE40CE"/>
    <w:rsid w:val="53B46E53"/>
    <w:rsid w:val="53C102A5"/>
    <w:rsid w:val="544F687F"/>
    <w:rsid w:val="54615244"/>
    <w:rsid w:val="54673DA7"/>
    <w:rsid w:val="54D17306"/>
    <w:rsid w:val="54DD1D56"/>
    <w:rsid w:val="54F3218D"/>
    <w:rsid w:val="55125CF2"/>
    <w:rsid w:val="5516017D"/>
    <w:rsid w:val="55306D65"/>
    <w:rsid w:val="557650C0"/>
    <w:rsid w:val="557A725C"/>
    <w:rsid w:val="55894270"/>
    <w:rsid w:val="55BD4A9D"/>
    <w:rsid w:val="55EA33B8"/>
    <w:rsid w:val="564B654C"/>
    <w:rsid w:val="567D2FDC"/>
    <w:rsid w:val="571602F8"/>
    <w:rsid w:val="576F728A"/>
    <w:rsid w:val="577675F9"/>
    <w:rsid w:val="57D4674D"/>
    <w:rsid w:val="57D52571"/>
    <w:rsid w:val="57EC1669"/>
    <w:rsid w:val="57F37F1E"/>
    <w:rsid w:val="580E5A83"/>
    <w:rsid w:val="582232DD"/>
    <w:rsid w:val="58366D88"/>
    <w:rsid w:val="58AE5F4C"/>
    <w:rsid w:val="58D5034F"/>
    <w:rsid w:val="58E24393"/>
    <w:rsid w:val="598F6750"/>
    <w:rsid w:val="59975605"/>
    <w:rsid w:val="5A3115B5"/>
    <w:rsid w:val="5A6279C1"/>
    <w:rsid w:val="5A7F0572"/>
    <w:rsid w:val="5A8E07B6"/>
    <w:rsid w:val="5B15237A"/>
    <w:rsid w:val="5B242FC1"/>
    <w:rsid w:val="5B2B676A"/>
    <w:rsid w:val="5B472801"/>
    <w:rsid w:val="5B4B48F9"/>
    <w:rsid w:val="5B575A6D"/>
    <w:rsid w:val="5B6C5663"/>
    <w:rsid w:val="5BEE2A2D"/>
    <w:rsid w:val="5BF31218"/>
    <w:rsid w:val="5BF94355"/>
    <w:rsid w:val="5BFB44B7"/>
    <w:rsid w:val="5CC40822"/>
    <w:rsid w:val="5CDC6150"/>
    <w:rsid w:val="5CE70651"/>
    <w:rsid w:val="5CF37BEF"/>
    <w:rsid w:val="5CF50FC0"/>
    <w:rsid w:val="5CFA0384"/>
    <w:rsid w:val="5D746389"/>
    <w:rsid w:val="5D7C523D"/>
    <w:rsid w:val="5D995DEF"/>
    <w:rsid w:val="5DBD3243"/>
    <w:rsid w:val="5DDC5CDC"/>
    <w:rsid w:val="5DF50B4C"/>
    <w:rsid w:val="5E1702A1"/>
    <w:rsid w:val="5E257683"/>
    <w:rsid w:val="5E6006BB"/>
    <w:rsid w:val="5E895E64"/>
    <w:rsid w:val="5E9F5687"/>
    <w:rsid w:val="5ED23EBE"/>
    <w:rsid w:val="5F223BC2"/>
    <w:rsid w:val="5F3C1E43"/>
    <w:rsid w:val="5F742670"/>
    <w:rsid w:val="5F8B5C0B"/>
    <w:rsid w:val="5FB7255D"/>
    <w:rsid w:val="5FF92B75"/>
    <w:rsid w:val="604A310B"/>
    <w:rsid w:val="608763D3"/>
    <w:rsid w:val="60EC4488"/>
    <w:rsid w:val="61954B1F"/>
    <w:rsid w:val="61A82AA5"/>
    <w:rsid w:val="61AD1E69"/>
    <w:rsid w:val="61D54F1C"/>
    <w:rsid w:val="62045801"/>
    <w:rsid w:val="621C6FEF"/>
    <w:rsid w:val="62233ED9"/>
    <w:rsid w:val="62263BD8"/>
    <w:rsid w:val="622C0888"/>
    <w:rsid w:val="6257252B"/>
    <w:rsid w:val="62600C89"/>
    <w:rsid w:val="628F77C1"/>
    <w:rsid w:val="62C54F90"/>
    <w:rsid w:val="62E0799D"/>
    <w:rsid w:val="62E621D4"/>
    <w:rsid w:val="6308436C"/>
    <w:rsid w:val="6351180B"/>
    <w:rsid w:val="63CD67F3"/>
    <w:rsid w:val="63CE4319"/>
    <w:rsid w:val="63DF51AD"/>
    <w:rsid w:val="640A5AD0"/>
    <w:rsid w:val="64304B46"/>
    <w:rsid w:val="64395CA5"/>
    <w:rsid w:val="64521FA0"/>
    <w:rsid w:val="645667E8"/>
    <w:rsid w:val="64591E34"/>
    <w:rsid w:val="646C600B"/>
    <w:rsid w:val="64C039B6"/>
    <w:rsid w:val="64C875C4"/>
    <w:rsid w:val="64E21DC8"/>
    <w:rsid w:val="65640A91"/>
    <w:rsid w:val="656767D3"/>
    <w:rsid w:val="65B337C6"/>
    <w:rsid w:val="660472CF"/>
    <w:rsid w:val="67140294"/>
    <w:rsid w:val="6759214B"/>
    <w:rsid w:val="676905DD"/>
    <w:rsid w:val="679118E5"/>
    <w:rsid w:val="679641F1"/>
    <w:rsid w:val="68103152"/>
    <w:rsid w:val="68165351"/>
    <w:rsid w:val="682664D1"/>
    <w:rsid w:val="682E35D8"/>
    <w:rsid w:val="685017A0"/>
    <w:rsid w:val="68866F70"/>
    <w:rsid w:val="68896538"/>
    <w:rsid w:val="69644728"/>
    <w:rsid w:val="697274F4"/>
    <w:rsid w:val="697D0373"/>
    <w:rsid w:val="698E432E"/>
    <w:rsid w:val="69D871E5"/>
    <w:rsid w:val="69EB4481"/>
    <w:rsid w:val="69F66377"/>
    <w:rsid w:val="6A111863"/>
    <w:rsid w:val="6A331379"/>
    <w:rsid w:val="6A4B66C3"/>
    <w:rsid w:val="6A7554EE"/>
    <w:rsid w:val="6A783BEA"/>
    <w:rsid w:val="6A99742E"/>
    <w:rsid w:val="6AC02C0D"/>
    <w:rsid w:val="6AE354A7"/>
    <w:rsid w:val="6AEF52A0"/>
    <w:rsid w:val="6B8F2820"/>
    <w:rsid w:val="6BAE0CB8"/>
    <w:rsid w:val="6BB169FA"/>
    <w:rsid w:val="6BCB6C2F"/>
    <w:rsid w:val="6BD66471"/>
    <w:rsid w:val="6C1256EA"/>
    <w:rsid w:val="6C4038DA"/>
    <w:rsid w:val="6C487EFF"/>
    <w:rsid w:val="6C8A4E71"/>
    <w:rsid w:val="6CFC3CA5"/>
    <w:rsid w:val="6D0112BB"/>
    <w:rsid w:val="6D4F2026"/>
    <w:rsid w:val="6D7101EF"/>
    <w:rsid w:val="6D716441"/>
    <w:rsid w:val="6DBB590E"/>
    <w:rsid w:val="6DDF7AE5"/>
    <w:rsid w:val="6E1F40EF"/>
    <w:rsid w:val="6E2349FF"/>
    <w:rsid w:val="6E2F5C74"/>
    <w:rsid w:val="6E3E51AA"/>
    <w:rsid w:val="6E4E6782"/>
    <w:rsid w:val="6E6E0BD2"/>
    <w:rsid w:val="6EBC193D"/>
    <w:rsid w:val="6F70792E"/>
    <w:rsid w:val="6FA32AFD"/>
    <w:rsid w:val="6FAD74D8"/>
    <w:rsid w:val="6FC767EC"/>
    <w:rsid w:val="6FD14130"/>
    <w:rsid w:val="6FD32E0B"/>
    <w:rsid w:val="6FD7241D"/>
    <w:rsid w:val="6FEB23DA"/>
    <w:rsid w:val="6FEC1DAE"/>
    <w:rsid w:val="70473489"/>
    <w:rsid w:val="70570090"/>
    <w:rsid w:val="70787AE6"/>
    <w:rsid w:val="70A26911"/>
    <w:rsid w:val="70F33611"/>
    <w:rsid w:val="71107D1F"/>
    <w:rsid w:val="714125CE"/>
    <w:rsid w:val="714E7FB6"/>
    <w:rsid w:val="71DB4DD5"/>
    <w:rsid w:val="71FC4693"/>
    <w:rsid w:val="723E08BB"/>
    <w:rsid w:val="7250460A"/>
    <w:rsid w:val="72BA2638"/>
    <w:rsid w:val="72F22DB0"/>
    <w:rsid w:val="730F7BD2"/>
    <w:rsid w:val="73860005"/>
    <w:rsid w:val="73A429A0"/>
    <w:rsid w:val="73CF3EC1"/>
    <w:rsid w:val="74406B6D"/>
    <w:rsid w:val="744F32FB"/>
    <w:rsid w:val="746D7236"/>
    <w:rsid w:val="747716F4"/>
    <w:rsid w:val="74C23A26"/>
    <w:rsid w:val="74D177C5"/>
    <w:rsid w:val="75271ADB"/>
    <w:rsid w:val="753179E2"/>
    <w:rsid w:val="75631015"/>
    <w:rsid w:val="75C93405"/>
    <w:rsid w:val="75D05CCE"/>
    <w:rsid w:val="75DA6B4D"/>
    <w:rsid w:val="75F42AD2"/>
    <w:rsid w:val="7634625D"/>
    <w:rsid w:val="76481D09"/>
    <w:rsid w:val="767C19B2"/>
    <w:rsid w:val="76DA077E"/>
    <w:rsid w:val="770D39EA"/>
    <w:rsid w:val="77667C3F"/>
    <w:rsid w:val="7789082B"/>
    <w:rsid w:val="780D451C"/>
    <w:rsid w:val="781E0F73"/>
    <w:rsid w:val="78866B18"/>
    <w:rsid w:val="78CD4747"/>
    <w:rsid w:val="78F21FCA"/>
    <w:rsid w:val="79324120"/>
    <w:rsid w:val="79464C25"/>
    <w:rsid w:val="79660E24"/>
    <w:rsid w:val="798C015E"/>
    <w:rsid w:val="7998397B"/>
    <w:rsid w:val="79A61220"/>
    <w:rsid w:val="79B55907"/>
    <w:rsid w:val="79EC0789"/>
    <w:rsid w:val="79F47B20"/>
    <w:rsid w:val="7A0D129F"/>
    <w:rsid w:val="7A340F22"/>
    <w:rsid w:val="7A392094"/>
    <w:rsid w:val="7AA00365"/>
    <w:rsid w:val="7B3B1E3C"/>
    <w:rsid w:val="7B445194"/>
    <w:rsid w:val="7B5A6033"/>
    <w:rsid w:val="7B5B428C"/>
    <w:rsid w:val="7BEF281B"/>
    <w:rsid w:val="7C09018C"/>
    <w:rsid w:val="7C1032C9"/>
    <w:rsid w:val="7C3F770A"/>
    <w:rsid w:val="7C52743D"/>
    <w:rsid w:val="7C9C7379"/>
    <w:rsid w:val="7CAA1027"/>
    <w:rsid w:val="7CAB7E05"/>
    <w:rsid w:val="7CAC467A"/>
    <w:rsid w:val="7CD07221"/>
    <w:rsid w:val="7CD95694"/>
    <w:rsid w:val="7D0573B2"/>
    <w:rsid w:val="7D284642"/>
    <w:rsid w:val="7D8E720C"/>
    <w:rsid w:val="7DA846F2"/>
    <w:rsid w:val="7DF519C9"/>
    <w:rsid w:val="7E192908"/>
    <w:rsid w:val="7E3E411D"/>
    <w:rsid w:val="7EE14A37"/>
    <w:rsid w:val="7EEF5417"/>
    <w:rsid w:val="7FAE0E2E"/>
    <w:rsid w:val="7FD44AD8"/>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4">
    <w:name w:val="annotation text"/>
    <w:basedOn w:val="1"/>
    <w:link w:val="22"/>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7"/>
    <w:qFormat/>
    <w:uiPriority w:val="99"/>
    <w:rPr>
      <w:sz w:val="18"/>
      <w:szCs w:val="18"/>
    </w:rPr>
  </w:style>
  <w:style w:type="character" w:customStyle="1" w:styleId="18">
    <w:name w:val="页脚 字符"/>
    <w:basedOn w:val="14"/>
    <w:link w:val="6"/>
    <w:qFormat/>
    <w:uiPriority w:val="99"/>
    <w:rPr>
      <w:sz w:val="18"/>
      <w:szCs w:val="18"/>
    </w:rPr>
  </w:style>
  <w:style w:type="character" w:customStyle="1" w:styleId="19">
    <w:name w:val="标题 1 字符"/>
    <w:basedOn w:val="14"/>
    <w:link w:val="3"/>
    <w:qFormat/>
    <w:uiPriority w:val="9"/>
    <w:rPr>
      <w:rFonts w:ascii="Times New Roman" w:hAnsi="Times New Roman" w:eastAsia="宋体" w:cs="Times New Roman"/>
      <w:b/>
      <w:bCs/>
      <w:kern w:val="44"/>
      <w:sz w:val="44"/>
      <w:szCs w:val="44"/>
    </w:rPr>
  </w:style>
  <w:style w:type="paragraph" w:styleId="20">
    <w:name w:val="List Paragraph"/>
    <w:basedOn w:val="1"/>
    <w:qFormat/>
    <w:uiPriority w:val="34"/>
    <w:pPr>
      <w:ind w:firstLine="420" w:firstLineChars="200"/>
    </w:pPr>
  </w:style>
  <w:style w:type="character" w:customStyle="1" w:styleId="21">
    <w:name w:val="批注框文本 字符"/>
    <w:basedOn w:val="14"/>
    <w:link w:val="5"/>
    <w:semiHidden/>
    <w:qFormat/>
    <w:uiPriority w:val="99"/>
    <w:rPr>
      <w:rFonts w:ascii="Times New Roman" w:hAnsi="Times New Roman" w:eastAsia="宋体" w:cs="Times New Roman"/>
      <w:sz w:val="18"/>
      <w:szCs w:val="18"/>
    </w:rPr>
  </w:style>
  <w:style w:type="character" w:customStyle="1" w:styleId="22">
    <w:name w:val="批注文字 字符"/>
    <w:basedOn w:val="14"/>
    <w:link w:val="4"/>
    <w:semiHidden/>
    <w:qFormat/>
    <w:uiPriority w:val="99"/>
    <w:rPr>
      <w:rFonts w:ascii="Times New Roman" w:hAnsi="Times New Roman" w:eastAsia="宋体" w:cs="Times New Roman"/>
      <w:szCs w:val="24"/>
    </w:rPr>
  </w:style>
  <w:style w:type="character" w:customStyle="1" w:styleId="23">
    <w:name w:val="批注主题 字符"/>
    <w:basedOn w:val="22"/>
    <w:link w:val="11"/>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1975</Words>
  <Characters>2257</Characters>
  <Lines>17</Lines>
  <Paragraphs>4</Paragraphs>
  <TotalTime>4</TotalTime>
  <ScaleCrop>false</ScaleCrop>
  <LinksUpToDate>false</LinksUpToDate>
  <CharactersWithSpaces>2274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2021-04-22T02:04:00Z</dcterms:created>
  <dc:creator>Administrator</dc:creator>
  <cp:lastModifiedBy>石岐总值班室（23328546）</cp:lastModifiedBy>
  <cp:lastPrinted>2023-05-18T10:52:00Z</cp:lastPrinted>
  <dcterms:modified xsi:type="dcterms:W3CDTF">2023-05-22T11:27:16Z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F2B31F35DC9641A88C0295B0E10FCC0C</vt:lpwstr>
  </property>
</Properties>
</file>