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eastAsia="zh-CN"/>
        </w:rPr>
        <w:t>变更粤（2023）中山市不动产权第0095075号</w:t>
      </w:r>
      <w:r>
        <w:rPr>
          <w:rFonts w:hint="eastAsia" w:ascii="宋体" w:hAnsi="宋体"/>
          <w:b/>
          <w:sz w:val="44"/>
          <w:szCs w:val="44"/>
        </w:rPr>
        <w:t>宗地规划条件公示的通告</w:t>
      </w:r>
      <w:bookmarkEnd w:id="0"/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740785" cy="2273300"/>
            <wp:effectExtent l="0" t="0" r="12065" b="12700"/>
            <wp:docPr id="2" name="图片 2" descr="茅湾张茂辉商住调高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茅湾张茂辉商住调高05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粤（2023）中山市不动产权第0095075号</w:t>
      </w:r>
      <w:r>
        <w:rPr>
          <w:rFonts w:hint="eastAsia" w:ascii="仿宋" w:hAnsi="仿宋" w:eastAsia="仿宋" w:cs="Times New Roman"/>
          <w:sz w:val="32"/>
          <w:szCs w:val="32"/>
        </w:rPr>
        <w:t>宗地位于中山市三乡镇茅湾村“大围”，用地面积2142平方米，土地使用权人为张茂辉，地类（用途）为住宅，使用权类型性质为国有出让。现该使用权人申请变更该宗地规划条件。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我局已受理其申请，依据城乡规划法律法规的有关要求，现对该宗地规划条件变更进行公示，公示如下：</w:t>
      </w:r>
    </w:p>
    <w:p>
      <w:pPr>
        <w:numPr>
          <w:ilvl w:val="0"/>
          <w:numId w:val="0"/>
        </w:numPr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一、原合同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约定</w:t>
      </w:r>
      <w:r>
        <w:rPr>
          <w:rFonts w:hint="eastAsia" w:ascii="仿宋" w:hAnsi="仿宋" w:eastAsia="仿宋"/>
          <w:sz w:val="32"/>
          <w:szCs w:val="32"/>
        </w:rPr>
        <w:t>指标</w:t>
      </w:r>
    </w:p>
    <w:p>
      <w:pPr>
        <w:numPr>
          <w:ilvl w:val="0"/>
          <w:numId w:val="0"/>
        </w:numPr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土地用途为商住</w:t>
      </w:r>
      <w:r>
        <w:rPr>
          <w:rFonts w:hint="eastAsia" w:ascii="仿宋" w:hAnsi="仿宋" w:eastAsia="仿宋"/>
          <w:sz w:val="32"/>
          <w:szCs w:val="32"/>
        </w:rPr>
        <w:t>，容积率：1.5 ； 建筑密度：30%； 绿地率：30% ； 建筑限高：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无约定。</w:t>
      </w:r>
    </w:p>
    <w:p>
      <w:pPr>
        <w:numPr>
          <w:ilvl w:val="0"/>
          <w:numId w:val="0"/>
        </w:numPr>
        <w:adjustRightInd w:val="0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变更后规划指标</w:t>
      </w:r>
    </w:p>
    <w:p>
      <w:pPr>
        <w:numPr>
          <w:ilvl w:val="0"/>
          <w:numId w:val="0"/>
        </w:numPr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用地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在《中山市三乡镇谷都片区控制性详细规划（调整）G4-01局部地块建筑高度调整》G4-01-02地块规划为R2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二类居住用地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。地块指标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变更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为：容积率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，绿地率36%，建筑密度30%，建筑限高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米。</w:t>
      </w:r>
      <w:r>
        <w:rPr>
          <w:rFonts w:hint="eastAsia" w:ascii="仿宋" w:hAnsi="仿宋" w:eastAsia="仿宋"/>
          <w:sz w:val="32"/>
          <w:szCs w:val="32"/>
        </w:rPr>
        <w:t>根据《中华人民共和国城乡规划法》相关规定，现就该事项予以公示，公示时间为刊登之日起十天。在公示期内如对上述调整事项有意见或建议，请使用真实姓名及联系方式，以书面形式反馈到以下地址：中山市自然资源局第四分局（中山市坦洲镇坦神北路103号），逾期视为无异议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袁</w:t>
      </w:r>
      <w:r>
        <w:rPr>
          <w:rFonts w:hint="eastAsia" w:ascii="仿宋" w:hAnsi="仿宋" w:eastAsia="仿宋"/>
          <w:sz w:val="32"/>
          <w:szCs w:val="32"/>
        </w:rPr>
        <w:t>先生；联系电话：8663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9083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中山市自然资源局</w:t>
      </w:r>
    </w:p>
    <w:p>
      <w:pPr>
        <w:wordWrap w:val="0"/>
        <w:adjustRightInd w:val="0"/>
        <w:ind w:right="32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3117"/>
    <w:rsid w:val="57E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2023-05-19T07:32:00Z</dcterms:created>
  <dc:creator>黄伟健</dc:creator>
  <cp:lastModifiedBy>黄伟健</cp:lastModifiedBy>
  <dcterms:modified xsi:type="dcterms:W3CDTF">2023-05-19T07:36:43Z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09145B5738C7409FB38BD16D2B73BAB1</vt:lpwstr>
  </property>
</Properties>
</file>