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rPr>
          <w:rFonts w:ascii="Times New Roman" w:hAnsi="Times New Roman" w:eastAsia="仿宋_GB2312" w:cs="仿宋_GB2312"/>
          <w:spacing w:val="6"/>
          <w:kern w:val="0"/>
          <w:sz w:val="32"/>
          <w:szCs w:val="32"/>
          <w:highlight w:val="none"/>
        </w:rPr>
      </w:pPr>
      <w:bookmarkStart w:id="0" w:name="_GoBack"/>
    </w:p>
    <w:p>
      <w:pPr>
        <w:adjustRightInd w:val="0"/>
        <w:snapToGrid w:val="0"/>
        <w:spacing w:line="574" w:lineRule="exact"/>
        <w:jc w:val="center"/>
        <w:rPr>
          <w:rFonts w:ascii="Times New Roman" w:hAnsi="Times New Roman" w:eastAsia="微软简标宋" w:cs="方正小标宋简体"/>
          <w:spacing w:val="6"/>
          <w:sz w:val="44"/>
          <w:szCs w:val="44"/>
          <w:highlight w:val="none"/>
        </w:rPr>
      </w:pPr>
      <w:r>
        <w:rPr>
          <w:rFonts w:hint="eastAsia" w:ascii="Times New Roman" w:hAnsi="Times New Roman" w:eastAsia="微软简标宋" w:cs="方正小标宋简体"/>
          <w:spacing w:val="6"/>
          <w:sz w:val="44"/>
          <w:szCs w:val="44"/>
          <w:highlight w:val="none"/>
        </w:rPr>
        <w:t>古镇镇林健洪、林健伟、林健信“工改工”宗地项目“三旧”改造方案</w:t>
      </w:r>
    </w:p>
    <w:p>
      <w:pPr>
        <w:adjustRightInd w:val="0"/>
        <w:snapToGrid w:val="0"/>
        <w:spacing w:line="336" w:lineRule="auto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</w:pPr>
    </w:p>
    <w:p>
      <w:pPr>
        <w:adjustRightInd w:val="0"/>
        <w:snapToGrid w:val="0"/>
        <w:spacing w:line="336" w:lineRule="auto"/>
        <w:ind w:firstLine="664" w:firstLineChars="200"/>
        <w:rPr>
          <w:rFonts w:ascii="Times New Roman" w:hAnsi="Times New Roman" w:eastAsia="仿宋_GB2312" w:cs="仿宋_GB2312"/>
          <w:spacing w:val="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根据中山市城市更新（“三旧”改造）专项规划和经批复规划条件论证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</w:rPr>
        <w:t>，古镇镇人民政府拟对位于古镇镇古二村顺成一路17号的旧厂房用地进行改造，由土地权利人林健洪、林健伟、林健信自主改造，采取全面改造的改造方式。改造方案如下：</w:t>
      </w:r>
    </w:p>
    <w:p>
      <w:pPr>
        <w:adjustRightInd w:val="0"/>
        <w:snapToGrid w:val="0"/>
        <w:spacing w:line="336" w:lineRule="auto"/>
        <w:ind w:firstLine="664" w:firstLineChars="200"/>
        <w:rPr>
          <w:rFonts w:ascii="Times New Roman" w:hAnsi="Times New Roman" w:eastAsia="黑体" w:cs="黑体"/>
          <w:spacing w:val="6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pacing w:val="6"/>
          <w:kern w:val="0"/>
          <w:sz w:val="32"/>
          <w:szCs w:val="32"/>
          <w:highlight w:val="none"/>
        </w:rPr>
        <w:t>一、改造地块基本情况</w:t>
      </w:r>
    </w:p>
    <w:p>
      <w:pPr>
        <w:adjustRightInd w:val="0"/>
        <w:snapToGrid w:val="0"/>
        <w:spacing w:line="336" w:lineRule="auto"/>
        <w:ind w:firstLine="664" w:firstLineChars="200"/>
        <w:rPr>
          <w:rFonts w:ascii="Times New Roman" w:hAnsi="Times New Roman" w:eastAsia="楷体_GB2312" w:cs="楷体"/>
          <w:spacing w:val="6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"/>
          <w:spacing w:val="6"/>
          <w:sz w:val="32"/>
          <w:szCs w:val="32"/>
          <w:highlight w:val="none"/>
        </w:rPr>
        <w:t>（一）总体情况</w:t>
      </w:r>
    </w:p>
    <w:p>
      <w:pPr>
        <w:adjustRightInd w:val="0"/>
        <w:snapToGrid w:val="0"/>
        <w:spacing w:line="336" w:lineRule="auto"/>
        <w:ind w:firstLine="664" w:firstLineChars="200"/>
        <w:rPr>
          <w:rFonts w:ascii="仿宋_GB2312" w:hAnsi="仿宋_GB2312" w:eastAsia="仿宋_GB2312" w:cs="仿宋_GB2312"/>
          <w:spacing w:val="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改造地块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</w:rPr>
        <w:t>位于古镇镇古二村顺成一路17号，东至顺成一路，南至风巷，西至小路，北至风巷，用地面积0.3804公顷（3803.7平方米，折合5.71亩）。</w:t>
      </w:r>
    </w:p>
    <w:p>
      <w:pPr>
        <w:adjustRightInd w:val="0"/>
        <w:snapToGrid w:val="0"/>
        <w:spacing w:line="336" w:lineRule="auto"/>
        <w:ind w:firstLine="664" w:firstLineChars="200"/>
        <w:rPr>
          <w:rFonts w:ascii="Times New Roman" w:hAnsi="Times New Roman" w:eastAsia="楷体_GB2312" w:cs="楷体"/>
          <w:spacing w:val="6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"/>
          <w:spacing w:val="6"/>
          <w:sz w:val="32"/>
          <w:szCs w:val="32"/>
          <w:highlight w:val="none"/>
        </w:rPr>
        <w:t>（二）标图入库情况</w:t>
      </w:r>
    </w:p>
    <w:p>
      <w:pPr>
        <w:adjustRightInd w:val="0"/>
        <w:snapToGrid w:val="0"/>
        <w:spacing w:line="336" w:lineRule="auto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改造地块于2011年6月纳入“三旧”标图入库，图斑编号44200027913，纳入图斑面积0.3804公顷（3803.7平方米，折合5.71亩），纳入本次改造范围，为改造主体地块。</w:t>
      </w:r>
    </w:p>
    <w:p>
      <w:pPr>
        <w:adjustRightInd w:val="0"/>
        <w:snapToGrid w:val="0"/>
        <w:spacing w:line="336" w:lineRule="auto"/>
        <w:ind w:firstLine="664" w:firstLineChars="200"/>
        <w:rPr>
          <w:rFonts w:ascii="Times New Roman" w:hAnsi="Times New Roman" w:eastAsia="楷体_GB2312" w:cs="楷体"/>
          <w:spacing w:val="6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"/>
          <w:spacing w:val="6"/>
          <w:sz w:val="32"/>
          <w:szCs w:val="32"/>
          <w:highlight w:val="none"/>
        </w:rPr>
        <w:t>（三）权属情况</w:t>
      </w:r>
    </w:p>
    <w:p>
      <w:pPr>
        <w:adjustRightInd w:val="0"/>
        <w:snapToGrid w:val="0"/>
        <w:spacing w:line="336" w:lineRule="auto"/>
        <w:ind w:firstLine="664" w:firstLineChars="200"/>
        <w:rPr>
          <w:rFonts w:ascii="Times New Roman" w:hAnsi="Times New Roman" w:eastAsia="仿宋_GB2312" w:cs="仿宋_GB2312"/>
          <w:spacing w:val="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</w:rPr>
        <w:t>改造范围内全部属国有建设用地，土地用途为工业，改造涉及的土地已经确权、登记，土地证号为中府国用（2009）第易100245号，为土地权利人林健洪、林健伟、林健信自2009年8月开始使用。</w:t>
      </w:r>
    </w:p>
    <w:p>
      <w:pPr>
        <w:adjustRightInd w:val="0"/>
        <w:snapToGrid w:val="0"/>
        <w:spacing w:line="336" w:lineRule="auto"/>
        <w:ind w:firstLine="664" w:firstLineChars="200"/>
        <w:rPr>
          <w:rFonts w:ascii="Times New Roman" w:hAnsi="Times New Roman" w:eastAsia="楷体_GB2312" w:cs="楷体"/>
          <w:spacing w:val="6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"/>
          <w:spacing w:val="6"/>
          <w:sz w:val="32"/>
          <w:szCs w:val="32"/>
          <w:highlight w:val="none"/>
        </w:rPr>
        <w:t>（四）土地利用现状情况</w:t>
      </w:r>
    </w:p>
    <w:p>
      <w:pPr>
        <w:adjustRightInd w:val="0"/>
        <w:snapToGrid w:val="0"/>
        <w:spacing w:line="336" w:lineRule="auto"/>
        <w:ind w:firstLine="664" w:firstLineChars="200"/>
        <w:rPr>
          <w:rFonts w:ascii="仿宋_GB2312" w:hAnsi="仿宋_GB2312" w:eastAsia="仿宋_GB2312" w:cs="仿宋_GB2312"/>
          <w:spacing w:val="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</w:rPr>
        <w:t>改造范围内现有2栋建筑物，为土地权利人林健洪、林健伟、林健信自2009年8月开始使用。其中已办理房产证建筑面积3942.19平方米，另有建筑面积约4000平方米没办理规划报建、验收手续；现状容积率2.09，作工业厂房所用。该地块目前已拆除建筑面积0平方米，改造前年产值为350万元，年税收为15万元。</w:t>
      </w:r>
    </w:p>
    <w:p>
      <w:pPr>
        <w:adjustRightInd w:val="0"/>
        <w:snapToGrid w:val="0"/>
        <w:spacing w:line="336" w:lineRule="auto"/>
        <w:ind w:firstLine="664" w:firstLineChars="200"/>
        <w:rPr>
          <w:rFonts w:ascii="仿宋_GB2312" w:hAnsi="仿宋_GB2312" w:eastAsia="仿宋_GB2312" w:cs="仿宋_GB2312"/>
          <w:spacing w:val="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</w:rPr>
        <w:t>改地块于2009年12月31日前地上建筑物（构建物）基底面积达到用地面积1/3及以上并使用至今，符合“三旧”改造要求，未被认定为闲置土地，改造方案经镇领导班子集体审议通过后，根据《中山市旧厂房改造升级实施细则（修订）》第二十二条规定，视为非闲置土地。</w:t>
      </w:r>
    </w:p>
    <w:p>
      <w:pPr>
        <w:adjustRightInd w:val="0"/>
        <w:snapToGrid w:val="0"/>
        <w:spacing w:line="336" w:lineRule="auto"/>
        <w:ind w:firstLine="664" w:firstLineChars="200"/>
        <w:rPr>
          <w:rFonts w:ascii="仿宋_GB2312" w:hAnsi="仿宋_GB2312" w:eastAsia="仿宋_GB2312" w:cs="仿宋_GB2312"/>
          <w:spacing w:val="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</w:rPr>
        <w:t>改造主体地块不涉及历史文化资源要素、不涉及土壤环境潜在监管地块，不涉及供地及历史用地处理问题；改造主体地块现状无抵押。</w:t>
      </w:r>
    </w:p>
    <w:p>
      <w:pPr>
        <w:adjustRightInd w:val="0"/>
        <w:snapToGrid w:val="0"/>
        <w:spacing w:line="336" w:lineRule="auto"/>
        <w:ind w:firstLine="664" w:firstLineChars="200"/>
        <w:rPr>
          <w:rFonts w:ascii="Times New Roman" w:hAnsi="Times New Roman" w:eastAsia="楷体_GB2312" w:cs="楷体"/>
          <w:spacing w:val="6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"/>
          <w:spacing w:val="6"/>
          <w:sz w:val="32"/>
          <w:szCs w:val="32"/>
          <w:highlight w:val="none"/>
        </w:rPr>
        <w:t>（五）规划情况</w:t>
      </w:r>
    </w:p>
    <w:p>
      <w:pPr>
        <w:adjustRightInd w:val="0"/>
        <w:snapToGrid w:val="0"/>
        <w:spacing w:line="336" w:lineRule="auto"/>
        <w:ind w:firstLine="664" w:firstLineChars="200"/>
        <w:rPr>
          <w:rFonts w:ascii="仿宋_GB2312" w:hAnsi="仿宋_GB2312" w:eastAsia="仿宋_GB2312" w:cs="仿宋_GB2312"/>
          <w:spacing w:val="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</w:rPr>
        <w:t>改造主体地块符合土地利用总体规划、经批复规划条件论证；已纳入《中山市城市更新（“三旧”改造）专项规划（2020-2035）》。在古镇镇土地利用总体规划中，属城镇建设用地0.3804公顷（3803.7平方米，折合5.71亩）；在《中山市古镇镇工业用地规划条件论证报告》（中府函〔2022〕306号），一类工业用地0.3803公顷（3803.7平方米，折合5.71亩），规划容积率1.0-3.5，建筑密度35%-60%，绿地率10%-15%，生产性建筑高度≤50米，配套设施建筑高度≤100米。</w:t>
      </w:r>
    </w:p>
    <w:p>
      <w:pPr>
        <w:adjustRightInd w:val="0"/>
        <w:snapToGrid w:val="0"/>
        <w:spacing w:line="336" w:lineRule="auto"/>
        <w:ind w:firstLine="664" w:firstLineChars="200"/>
        <w:rPr>
          <w:rFonts w:ascii="仿宋_GB2312" w:hAnsi="仿宋_GB2312" w:eastAsia="仿宋_GB2312" w:cs="仿宋_GB2312"/>
          <w:spacing w:val="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</w:rPr>
        <w:t>改造主体地块位于城镇开发边界内，属于一级工业用地保护性范围；不涉及永久基本农田及补划地块、生态保护红线等管控要求。</w:t>
      </w:r>
    </w:p>
    <w:p>
      <w:pPr>
        <w:adjustRightInd w:val="0"/>
        <w:snapToGrid w:val="0"/>
        <w:spacing w:line="336" w:lineRule="auto"/>
        <w:ind w:firstLine="664" w:firstLineChars="200"/>
        <w:rPr>
          <w:rFonts w:ascii="Times New Roman" w:hAnsi="Times New Roman" w:eastAsia="黑体" w:cs="黑体"/>
          <w:spacing w:val="6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pacing w:val="6"/>
          <w:kern w:val="0"/>
          <w:sz w:val="32"/>
          <w:szCs w:val="32"/>
          <w:highlight w:val="none"/>
        </w:rPr>
        <w:t>二、改造意愿情况</w:t>
      </w:r>
    </w:p>
    <w:p>
      <w:pPr>
        <w:adjustRightInd w:val="0"/>
        <w:snapToGrid w:val="0"/>
        <w:spacing w:line="336" w:lineRule="auto"/>
        <w:ind w:firstLine="664" w:firstLineChars="200"/>
        <w:rPr>
          <w:rFonts w:ascii="仿宋_GB2312" w:hAnsi="仿宋_GB2312" w:eastAsia="仿宋_GB2312" w:cs="仿宋_GB2312"/>
          <w:spacing w:val="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</w:rPr>
        <w:t>改造范围涉及1个权利主体，古镇镇人民政府已按照法律法规，就改造范围、土地现状、改造主体及拟改造情况等事项征询其改造意愿，土地权利人同意将涉及土地、房屋纳入改造范围。</w:t>
      </w:r>
    </w:p>
    <w:p>
      <w:pPr>
        <w:adjustRightInd w:val="0"/>
        <w:snapToGrid w:val="0"/>
        <w:spacing w:line="336" w:lineRule="auto"/>
        <w:ind w:firstLine="664" w:firstLineChars="200"/>
        <w:rPr>
          <w:rFonts w:ascii="Times New Roman" w:hAnsi="Times New Roman" w:eastAsia="黑体" w:cs="黑体"/>
          <w:spacing w:val="6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pacing w:val="6"/>
          <w:kern w:val="0"/>
          <w:sz w:val="32"/>
          <w:szCs w:val="32"/>
          <w:highlight w:val="none"/>
        </w:rPr>
        <w:t>三、改造主体及拟改造情况</w:t>
      </w:r>
    </w:p>
    <w:p>
      <w:pPr>
        <w:adjustRightInd w:val="0"/>
        <w:snapToGrid w:val="0"/>
        <w:spacing w:line="336" w:lineRule="auto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</w:rPr>
        <w:t>根据有关规划要求，改造项目严格按照土地利用总体规划、经批复规划条件论证管控要求实施建设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336" w:lineRule="auto"/>
        <w:ind w:firstLine="664" w:firstLineChars="200"/>
        <w:rPr>
          <w:rFonts w:ascii="仿宋_GB2312" w:hAnsi="仿宋_GB2312" w:eastAsia="仿宋_GB2312" w:cs="仿宋_GB2312"/>
          <w:spacing w:val="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</w:rPr>
        <w:t>改造项目拟采取权利人自主改造方式，由土地权利人林健洪、林健伟、林健信作为改造主体，实施全面改造。改造后主营照明器具制造、电子器件制造行业。在符合经批复规划条件论证的基础上，容积率不小于3.0，新建建筑面积不小于12504.79平方米（含不计容建筑面积1093.69平方米），不保留原有建筑。</w:t>
      </w:r>
    </w:p>
    <w:p>
      <w:pPr>
        <w:adjustRightInd w:val="0"/>
        <w:snapToGrid w:val="0"/>
        <w:spacing w:line="336" w:lineRule="auto"/>
        <w:ind w:firstLine="664" w:firstLineChars="200"/>
        <w:rPr>
          <w:rFonts w:ascii="仿宋_GB2312" w:hAnsi="仿宋_GB2312" w:eastAsia="仿宋_GB2312" w:cs="仿宋_GB2312"/>
          <w:spacing w:val="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</w:rPr>
        <w:t>项目相关情况符合国家《产业结构调整指导目录》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《中山市“三线一单”生态环境分区管控方案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（2023年版）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</w:rPr>
        <w:t>《中山市涉挥发性有机物项目环保管理规定》。改造后年产值将达到3426万元（折合600万元/亩），年税收将达到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</w:rPr>
        <w:t>171.3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</w:rPr>
        <w:t>万元（折合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</w:rPr>
        <w:t>30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</w:rPr>
        <w:t>万元/亩）。</w:t>
      </w:r>
    </w:p>
    <w:p>
      <w:pPr>
        <w:adjustRightInd w:val="0"/>
        <w:snapToGrid w:val="0"/>
        <w:spacing w:line="336" w:lineRule="auto"/>
        <w:ind w:firstLine="664" w:firstLineChars="200"/>
        <w:rPr>
          <w:rFonts w:ascii="Times New Roman" w:hAnsi="Times New Roman" w:eastAsia="黑体" w:cs="黑体"/>
          <w:spacing w:val="6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pacing w:val="6"/>
          <w:kern w:val="0"/>
          <w:sz w:val="32"/>
          <w:szCs w:val="32"/>
          <w:highlight w:val="none"/>
        </w:rPr>
        <w:t>四、资金筹措</w:t>
      </w:r>
    </w:p>
    <w:p>
      <w:pPr>
        <w:adjustRightInd w:val="0"/>
        <w:snapToGrid w:val="0"/>
        <w:spacing w:line="336" w:lineRule="auto"/>
        <w:ind w:firstLine="664" w:firstLineChars="200"/>
        <w:rPr>
          <w:rFonts w:ascii="仿宋_GB2312" w:hAnsi="仿宋_GB2312" w:eastAsia="仿宋_GB2312" w:cs="仿宋_GB2312"/>
          <w:spacing w:val="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</w:rPr>
        <w:t>改造主体拟投入资金2200万元，其中自有资金1200万元，银行借贷1000万元。</w:t>
      </w:r>
    </w:p>
    <w:p>
      <w:pPr>
        <w:adjustRightInd w:val="0"/>
        <w:snapToGrid w:val="0"/>
        <w:spacing w:line="336" w:lineRule="auto"/>
        <w:ind w:firstLine="664" w:firstLineChars="200"/>
        <w:rPr>
          <w:rFonts w:ascii="Times New Roman" w:hAnsi="Times New Roman" w:eastAsia="黑体" w:cs="黑体"/>
          <w:spacing w:val="6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pacing w:val="6"/>
          <w:kern w:val="0"/>
          <w:sz w:val="32"/>
          <w:szCs w:val="32"/>
          <w:highlight w:val="none"/>
        </w:rPr>
        <w:t>五、开发时序</w:t>
      </w:r>
    </w:p>
    <w:p>
      <w:pPr>
        <w:adjustRightInd w:val="0"/>
        <w:snapToGrid w:val="0"/>
        <w:spacing w:line="336" w:lineRule="auto"/>
        <w:ind w:firstLine="664" w:firstLineChars="200"/>
        <w:jc w:val="left"/>
        <w:rPr>
          <w:rFonts w:ascii="Times New Roman" w:hAnsi="Times New Roman" w:eastAsia="仿宋_GB2312" w:cs="仿宋_GB2312"/>
          <w:spacing w:val="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</w:rPr>
        <w:t xml:space="preserve">项目开发周期为2年，拟分1期开发，开发时间为2023年12月前，拟投入资金2200万元，拟建建筑面积不少于12504.79平方米（含不计容建筑面积1093.69 平方米），主要实施建设工业厂房。   </w:t>
      </w:r>
    </w:p>
    <w:p>
      <w:pPr>
        <w:adjustRightInd w:val="0"/>
        <w:snapToGrid w:val="0"/>
        <w:spacing w:line="336" w:lineRule="auto"/>
        <w:ind w:firstLine="664" w:firstLineChars="200"/>
        <w:rPr>
          <w:rFonts w:ascii="Times New Roman" w:hAnsi="Times New Roman" w:eastAsia="黑体" w:cs="黑体"/>
          <w:spacing w:val="6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pacing w:val="6"/>
          <w:kern w:val="0"/>
          <w:sz w:val="32"/>
          <w:szCs w:val="32"/>
          <w:highlight w:val="none"/>
        </w:rPr>
        <w:t>六、实施监管</w:t>
      </w:r>
    </w:p>
    <w:p>
      <w:pPr>
        <w:adjustRightInd w:val="0"/>
        <w:snapToGrid w:val="0"/>
        <w:spacing w:line="336" w:lineRule="auto"/>
        <w:ind w:firstLine="664" w:firstLineChars="200"/>
        <w:rPr>
          <w:rFonts w:ascii="Times New Roman" w:hAnsi="Times New Roman" w:eastAsia="仿宋_GB2312" w:cs="仿宋_GB2312"/>
          <w:spacing w:val="6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pacing w:val="6"/>
          <w:kern w:val="0"/>
          <w:sz w:val="32"/>
          <w:szCs w:val="32"/>
          <w:highlight w:val="none"/>
        </w:rPr>
        <w:t>详见项目实施监管协议。</w:t>
      </w:r>
    </w:p>
    <w:bookmarkEnd w:id="0"/>
    <w:sectPr>
      <w:footerReference r:id="rId3" w:type="default"/>
      <w:pgSz w:w="11906" w:h="16838"/>
      <w:pgMar w:top="2211" w:right="1531" w:bottom="1871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X2KYs0wAAAAYBAAAPAAAA&#10;AAAAAAEAIAAAACIAAABkcnMvZG93bnJldi54bWxQSwECFAAUAAAACACHTuJAyMZ+WxoCAAAhBAAA&#10;DgAAAAAAAAABACAAAAAiAQAAZHJzL2Uyb0RvYy54bWxQSwUGAAAAAAYABgBZAQAAr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 w:eastAsia="方正仿宋简体"/>
                    <w:sz w:val="30"/>
                  </w:rPr>
                </w:pPr>
                <w:r>
                  <w:rPr>
                    <w:rFonts w:hint="eastAsia" w:ascii="Times New Roman" w:hAnsi="Times New Roman" w:eastAsia="方正仿宋简体"/>
                    <w:sz w:val="30"/>
                  </w:rPr>
                  <w:t xml:space="preserve">— </w:t>
                </w:r>
                <w:r>
                  <w:rPr>
                    <w:rFonts w:ascii="Times New Roman" w:hAnsi="Times New Roman" w:eastAsia="方正仿宋简体"/>
                    <w:sz w:val="30"/>
                  </w:rPr>
                  <w:fldChar w:fldCharType="begin"/>
                </w:r>
                <w:r>
                  <w:rPr>
                    <w:rFonts w:ascii="Times New Roman" w:hAnsi="Times New Roman" w:eastAsia="方正仿宋简体"/>
                    <w:sz w:val="30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方正仿宋简体"/>
                    <w:sz w:val="30"/>
                  </w:rPr>
                  <w:fldChar w:fldCharType="separate"/>
                </w:r>
                <w:r>
                  <w:rPr>
                    <w:rFonts w:ascii="Times New Roman" w:hAnsi="Times New Roman" w:eastAsia="方正仿宋简体"/>
                    <w:sz w:val="30"/>
                  </w:rPr>
                  <w:t>2</w:t>
                </w:r>
                <w:r>
                  <w:rPr>
                    <w:rFonts w:ascii="Times New Roman" w:hAnsi="Times New Roman" w:eastAsia="方正仿宋简体"/>
                    <w:sz w:val="30"/>
                  </w:rPr>
                  <w:fldChar w:fldCharType="end"/>
                </w:r>
                <w:r>
                  <w:rPr>
                    <w:rFonts w:hint="eastAsia" w:ascii="Times New Roman" w:hAnsi="Times New Roman" w:eastAsia="方正仿宋简体"/>
                    <w:sz w:val="30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Q5NjRmN2M2YWM1YmMwNDM5NjA4NmRlZmVjOTNhOGYifQ=="/>
  </w:docVars>
  <w:rsids>
    <w:rsidRoot w:val="7A9324EA"/>
    <w:rsid w:val="00007942"/>
    <w:rsid w:val="00007945"/>
    <w:rsid w:val="00034CF7"/>
    <w:rsid w:val="000A69CE"/>
    <w:rsid w:val="000C2222"/>
    <w:rsid w:val="000D6FA0"/>
    <w:rsid w:val="000E7F02"/>
    <w:rsid w:val="00111B35"/>
    <w:rsid w:val="00144D74"/>
    <w:rsid w:val="00153126"/>
    <w:rsid w:val="001D6384"/>
    <w:rsid w:val="001E6176"/>
    <w:rsid w:val="002371E5"/>
    <w:rsid w:val="002C14B7"/>
    <w:rsid w:val="002F1EC7"/>
    <w:rsid w:val="003D6EAF"/>
    <w:rsid w:val="003F1B11"/>
    <w:rsid w:val="00427923"/>
    <w:rsid w:val="00441ED0"/>
    <w:rsid w:val="00453F35"/>
    <w:rsid w:val="004732AD"/>
    <w:rsid w:val="004A679A"/>
    <w:rsid w:val="004D7038"/>
    <w:rsid w:val="004F2DC8"/>
    <w:rsid w:val="00552182"/>
    <w:rsid w:val="0058720C"/>
    <w:rsid w:val="005B3A1D"/>
    <w:rsid w:val="005B5FB2"/>
    <w:rsid w:val="005F4193"/>
    <w:rsid w:val="00630356"/>
    <w:rsid w:val="00652F1C"/>
    <w:rsid w:val="006C1894"/>
    <w:rsid w:val="0073158B"/>
    <w:rsid w:val="007B375D"/>
    <w:rsid w:val="007E6DB0"/>
    <w:rsid w:val="007F2B0C"/>
    <w:rsid w:val="00804D1F"/>
    <w:rsid w:val="00816E36"/>
    <w:rsid w:val="00833EA4"/>
    <w:rsid w:val="008565C0"/>
    <w:rsid w:val="00905796"/>
    <w:rsid w:val="009261B3"/>
    <w:rsid w:val="009625BB"/>
    <w:rsid w:val="009A763B"/>
    <w:rsid w:val="009D715E"/>
    <w:rsid w:val="00A42C68"/>
    <w:rsid w:val="00A64699"/>
    <w:rsid w:val="00AA40A2"/>
    <w:rsid w:val="00AA76B5"/>
    <w:rsid w:val="00AC1A40"/>
    <w:rsid w:val="00AE4B00"/>
    <w:rsid w:val="00B206E1"/>
    <w:rsid w:val="00B432D4"/>
    <w:rsid w:val="00B633FE"/>
    <w:rsid w:val="00B763F4"/>
    <w:rsid w:val="00B85FE0"/>
    <w:rsid w:val="00C45E81"/>
    <w:rsid w:val="00D86EDD"/>
    <w:rsid w:val="00DE6764"/>
    <w:rsid w:val="00E20FDD"/>
    <w:rsid w:val="00E51203"/>
    <w:rsid w:val="00E6430C"/>
    <w:rsid w:val="00EA6872"/>
    <w:rsid w:val="00EB1C0E"/>
    <w:rsid w:val="00EE1B16"/>
    <w:rsid w:val="00EF05EC"/>
    <w:rsid w:val="00F21D95"/>
    <w:rsid w:val="00F553EF"/>
    <w:rsid w:val="00F84C3F"/>
    <w:rsid w:val="00F935D0"/>
    <w:rsid w:val="034D0424"/>
    <w:rsid w:val="047D34C5"/>
    <w:rsid w:val="07DB478B"/>
    <w:rsid w:val="0C160487"/>
    <w:rsid w:val="0C4A1EDF"/>
    <w:rsid w:val="0D201426"/>
    <w:rsid w:val="0E1327A4"/>
    <w:rsid w:val="0EB17C8C"/>
    <w:rsid w:val="120C17F9"/>
    <w:rsid w:val="12E571C4"/>
    <w:rsid w:val="132C6031"/>
    <w:rsid w:val="14847F58"/>
    <w:rsid w:val="14A405FA"/>
    <w:rsid w:val="16227A29"/>
    <w:rsid w:val="165A3666"/>
    <w:rsid w:val="171E6442"/>
    <w:rsid w:val="18771C67"/>
    <w:rsid w:val="195005CE"/>
    <w:rsid w:val="19963A2B"/>
    <w:rsid w:val="1D250DAD"/>
    <w:rsid w:val="1F310AF0"/>
    <w:rsid w:val="1F86727A"/>
    <w:rsid w:val="1FD770A4"/>
    <w:rsid w:val="201C373B"/>
    <w:rsid w:val="21303941"/>
    <w:rsid w:val="23A221A9"/>
    <w:rsid w:val="23DB4D34"/>
    <w:rsid w:val="2423153B"/>
    <w:rsid w:val="251E4B43"/>
    <w:rsid w:val="28685CA3"/>
    <w:rsid w:val="2B45623B"/>
    <w:rsid w:val="2BBB08D0"/>
    <w:rsid w:val="2ECD66F1"/>
    <w:rsid w:val="2ECE6548"/>
    <w:rsid w:val="30E35813"/>
    <w:rsid w:val="315A19D8"/>
    <w:rsid w:val="31AA329C"/>
    <w:rsid w:val="33D32081"/>
    <w:rsid w:val="37776CB8"/>
    <w:rsid w:val="3B456F94"/>
    <w:rsid w:val="3BF07AFD"/>
    <w:rsid w:val="3C44609B"/>
    <w:rsid w:val="3D6A38DF"/>
    <w:rsid w:val="3FAE3AD4"/>
    <w:rsid w:val="3FFF47B3"/>
    <w:rsid w:val="409018AF"/>
    <w:rsid w:val="409939FF"/>
    <w:rsid w:val="42963B5B"/>
    <w:rsid w:val="42E55B99"/>
    <w:rsid w:val="433C05C9"/>
    <w:rsid w:val="456B2DE8"/>
    <w:rsid w:val="45B002FD"/>
    <w:rsid w:val="45E701C3"/>
    <w:rsid w:val="462E5776"/>
    <w:rsid w:val="49D071C0"/>
    <w:rsid w:val="4B5736F5"/>
    <w:rsid w:val="4C8449BE"/>
    <w:rsid w:val="4CBB2D50"/>
    <w:rsid w:val="4D0F5D40"/>
    <w:rsid w:val="4F433301"/>
    <w:rsid w:val="50336F84"/>
    <w:rsid w:val="52543D44"/>
    <w:rsid w:val="52F932E4"/>
    <w:rsid w:val="530D71A1"/>
    <w:rsid w:val="550541C2"/>
    <w:rsid w:val="554967A4"/>
    <w:rsid w:val="585A62F1"/>
    <w:rsid w:val="58670CF0"/>
    <w:rsid w:val="58E3481A"/>
    <w:rsid w:val="5909355F"/>
    <w:rsid w:val="593C3F2A"/>
    <w:rsid w:val="596A3CE1"/>
    <w:rsid w:val="5A105AE3"/>
    <w:rsid w:val="5AB83A84"/>
    <w:rsid w:val="5BC16969"/>
    <w:rsid w:val="5E227B93"/>
    <w:rsid w:val="5EB36A3D"/>
    <w:rsid w:val="5EB42036"/>
    <w:rsid w:val="600339F4"/>
    <w:rsid w:val="634265E1"/>
    <w:rsid w:val="64FA3A16"/>
    <w:rsid w:val="65A672FB"/>
    <w:rsid w:val="6621018A"/>
    <w:rsid w:val="676254A4"/>
    <w:rsid w:val="69872FA0"/>
    <w:rsid w:val="69C76F87"/>
    <w:rsid w:val="6BB6338A"/>
    <w:rsid w:val="6E0F5768"/>
    <w:rsid w:val="6F6F0200"/>
    <w:rsid w:val="739C3AEB"/>
    <w:rsid w:val="745A2B8A"/>
    <w:rsid w:val="75734D20"/>
    <w:rsid w:val="762D3176"/>
    <w:rsid w:val="76DB492B"/>
    <w:rsid w:val="78E73A5B"/>
    <w:rsid w:val="7A1E3929"/>
    <w:rsid w:val="7A566C2D"/>
    <w:rsid w:val="7A872F24"/>
    <w:rsid w:val="7A9324EA"/>
    <w:rsid w:val="7AE863D5"/>
    <w:rsid w:val="7CB005A1"/>
    <w:rsid w:val="7CDB7433"/>
    <w:rsid w:val="7E7713DD"/>
    <w:rsid w:val="7E8A73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253</Words>
  <Characters>1443</Characters>
  <Lines>12</Lines>
  <Paragraphs>3</Paragraphs>
  <TotalTime>39</TotalTime>
  <ScaleCrop>false</ScaleCrop>
  <LinksUpToDate>false</LinksUpToDate>
  <CharactersWithSpaces>1693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2022-08-12T01:57:00Z</dcterms:created>
  <dc:creator>Administrator</dc:creator>
  <cp:lastModifiedBy>张嘉良</cp:lastModifiedBy>
  <cp:lastPrinted>2022-08-18T03:26:00Z</cp:lastPrinted>
  <dcterms:modified xsi:type="dcterms:W3CDTF">2023-05-12T07:18:33Z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FFFF06DA0E874A2EAE921F116BCC998C</vt:lpwstr>
  </property>
</Properties>
</file>