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港口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镇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中山市物资集团有限公司中物广深科创产业园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项目低效工业用地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改造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方案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现行控制性详细规划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港口镇人民政府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拟对位于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沙港东路6号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中山市物资集团有限公司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低效工业用地进行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，由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中山市物资集团有限公司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自主改造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，采取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局部改造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的改造方式。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方案如下：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一、地块基本情况</w:t>
      </w:r>
      <w:bookmarkStart w:id="0" w:name="_GoBack"/>
      <w:bookmarkEnd w:id="0"/>
    </w:p>
    <w:p>
      <w:pPr>
        <w:spacing w:line="574" w:lineRule="exact"/>
        <w:ind w:firstLine="616" w:firstLineChars="200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（一）总体情况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位于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中山市港口镇沙港东路6号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，用地面积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6.49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64950.2平方米，折合约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97.4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亩）。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（二）权属情况</w:t>
      </w:r>
    </w:p>
    <w:p>
      <w:pPr>
        <w:spacing w:line="574" w:lineRule="exact"/>
        <w:ind w:firstLine="592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改造地块属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国有建设用地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，土地用途为工业，改造涉及的土地已经确权、登记，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不动产权证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粤（2022）中山市不动产权第0197916号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，为土地产权人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中山市物资集团有限公司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2008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12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月开始使用。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（三）土地利用现状情况</w:t>
      </w:r>
    </w:p>
    <w:p>
      <w:pPr>
        <w:spacing w:line="574" w:lineRule="exact"/>
        <w:ind w:firstLine="616" w:firstLineChars="200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改造范围内现有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栋建筑物，为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中山市物资集团有限公司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2010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10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月开始使用。已按规定办理规划报建等手续，现有建筑面积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226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/>
        </w:rPr>
        <w:t>49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.6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/>
        </w:rPr>
        <w:t>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平方米，现状容积率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0.35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工业厂房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及办公楼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所用。该地块目前已拆除建筑面积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平方米，改造前年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12928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132.69万元/亩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，年税收为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420.65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4.32万元/亩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。根据《关于印发中山市工业用地综合评价方案的通知》（中山工改办发〔2023〕7号），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经研究，拟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认定改造地块属于低效工业用地。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改造地块已办理闲置放行手续（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中闲置函〔2022〕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抵押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广发银行中山分行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val="en-US" w:eastAsia="zh-CN"/>
        </w:rPr>
        <w:t>抵押权人已同意改造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不涉及历史文化资源要素。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（四）规划情况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符合土地利用总体规划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。其中，在土地利用总体规划中，属城镇建设用地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6.49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64950.2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97.4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亩）；在《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中山市港口镇大丰工业区京珠高速以西片区控制性详细规划（2018）沙港路细化维护成果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》（中府函〔2022〕338 号）中，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一类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工业用地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6.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2803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2802.74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9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亩），规划容积率1.0-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3.5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，建筑密度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35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-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60%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，绿地率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10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-15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，生产性建筑高度≤50米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特殊工艺除外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，配套设施建筑高度≤100米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防护绿地0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2147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2147.24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亩）。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改造地块位于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城镇开发边界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内，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涉及永久基本农田、生态保护红线等管控要求。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二、改造意愿情况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改造范围涉及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中山市物资集团有限公司1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个权利主体，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港口镇人民政府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已按照法律法规，就改造范围、土地现状、开发主体及拟改造情况等事项征询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改造意愿，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同意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将涉及土地、房屋纳入改造范围。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三、开发主体及拟改造情况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根据有关规划要求，改造项目严格按照土地利用总体规划、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管控要求实施建设。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在规划中属非建设用地部分，按照非建设用地进行管控；在详细规划中属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防护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绿地等公益性用地部分，日后港口镇人民政府需按规划开发建设时，应无偿将用地交给港口镇人民政府使用。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改造项目拟采取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土地产权人自主改造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方式，由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中山市物资集团有限公司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作为开发主体，实施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局部改造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。改造后将用于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高端装备和电子信息智造产业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，在符合详细规划的基础上，容积率不小于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3.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，总建筑面积不小于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194850.6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平方米，其中新建建筑面积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189635.23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平方米，保留建筑面积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5215.37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77944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800万元/亩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，年税收将达到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1461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.45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15万元/亩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资金筹措</w:t>
      </w:r>
    </w:p>
    <w:p>
      <w:pPr>
        <w:spacing w:line="574" w:lineRule="exact"/>
        <w:ind w:firstLine="592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开发主体拟投入资金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67000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万元，其中自有资金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20000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万元，银行借贷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47000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开发时序</w:t>
      </w:r>
    </w:p>
    <w:p>
      <w:pPr>
        <w:spacing w:line="574" w:lineRule="exact"/>
        <w:ind w:firstLine="592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项目开发周期为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年，拟分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期开发。一期开发时间为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2023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9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月，拟投入资金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30000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元，拟建建筑面积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95500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平方米；二期开发时间为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2026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8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月，拟投入资金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37000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元，拟建建筑面积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94135.23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平方米，保留建筑面积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</w:rPr>
        <w:t>5215.37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六、实施监管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详见项目实施监管协议。</w:t>
      </w:r>
    </w:p>
    <w:p>
      <w:pPr>
        <w:spacing w:line="574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F60F2"/>
    <w:rsid w:val="0B0F4EB2"/>
    <w:rsid w:val="1F1D4392"/>
    <w:rsid w:val="229F60F2"/>
    <w:rsid w:val="3CF57F54"/>
    <w:rsid w:val="4250561E"/>
    <w:rsid w:val="49433FBF"/>
    <w:rsid w:val="585167AA"/>
    <w:rsid w:val="7A3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2023-05-11T05:25:00Z</dcterms:created>
  <dc:creator>唐聪</dc:creator>
  <cp:lastModifiedBy>王冲</cp:lastModifiedBy>
  <dcterms:modified xsi:type="dcterms:W3CDTF">2023-05-12T08:20:18Z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9AEAFC68CBCD454DBE39074CCAAAAF49</vt:lpwstr>
  </property>
</Properties>
</file>