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中山市益骏贸易发展有限公司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default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(二)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drawing>
          <wp:inline distT="0" distB="0" distL="114300" distR="114300">
            <wp:extent cx="5758815" cy="3514090"/>
            <wp:effectExtent l="0" t="0" r="133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中山市益骏贸易发展有限公司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中府国用（2006）第040854号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中山市益骏贸易发展有限公司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中山市三角镇蟠龙村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3171.80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  <w:lang w:val="en-US" w:eastAsia="zh-CN"/>
        </w:rPr>
        <w:t>E-1-11-15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  <w:lang w:eastAsia="zh-CN"/>
        </w:rPr>
        <w:t>用地性质：工业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35%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eastAsia="zh-CN"/>
        </w:rPr>
        <w:t>，绿地率：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≥30%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eastAsia="zh-CN"/>
        </w:rPr>
        <w:t>，建筑限高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24米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  <w:lang w:val="en-US" w:eastAsia="zh-CN"/>
        </w:rPr>
        <w:t>E-1-11-15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≤47米（绝对高度）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≤47米（绝对高度）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0E3271DF"/>
    <w:rsid w:val="10E3333B"/>
    <w:rsid w:val="126461E6"/>
    <w:rsid w:val="140650B7"/>
    <w:rsid w:val="18003413"/>
    <w:rsid w:val="1E52514A"/>
    <w:rsid w:val="1E572F00"/>
    <w:rsid w:val="201E1D25"/>
    <w:rsid w:val="22841176"/>
    <w:rsid w:val="24170CDF"/>
    <w:rsid w:val="2A143102"/>
    <w:rsid w:val="2A8F24C2"/>
    <w:rsid w:val="2AF60D41"/>
    <w:rsid w:val="30414AB6"/>
    <w:rsid w:val="313F3437"/>
    <w:rsid w:val="36D72A86"/>
    <w:rsid w:val="37D55DA6"/>
    <w:rsid w:val="391E1CDA"/>
    <w:rsid w:val="39D817E8"/>
    <w:rsid w:val="3FA41114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4F7742A0"/>
    <w:rsid w:val="50205B81"/>
    <w:rsid w:val="50DE0B34"/>
    <w:rsid w:val="5177622C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2BE0F25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6B4E8E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4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2023-04-26T03:47:19Z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