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74" w:lineRule="exact"/>
        <w:ind w:firstLine="0" w:firstLineChars="0"/>
        <w:jc w:val="center"/>
        <w:rPr>
          <w:rFonts w:ascii="方正小标宋简体" w:hAnsi="方正小标宋简体" w:eastAsia="方正小标宋简体" w:cs="方正小标宋简体"/>
          <w:color w:val="auto"/>
          <w:spacing w:val="-6"/>
          <w:kern w:val="2"/>
          <w:sz w:val="44"/>
          <w:szCs w:val="44"/>
        </w:rPr>
      </w:pPr>
      <w:r>
        <w:rPr>
          <w:rFonts w:hint="eastAsia" w:ascii="方正小标宋简体" w:hAnsi="方正小标宋简体" w:eastAsia="方正小标宋简体" w:cs="方正小标宋简体"/>
          <w:color w:val="auto"/>
          <w:spacing w:val="-6"/>
          <w:kern w:val="2"/>
          <w:sz w:val="44"/>
          <w:szCs w:val="44"/>
        </w:rPr>
        <w:t>中山市黄圃镇大雁村股份合作经济联合社</w:t>
      </w:r>
    </w:p>
    <w:p>
      <w:pPr>
        <w:widowControl w:val="0"/>
        <w:spacing w:line="574" w:lineRule="exact"/>
        <w:ind w:firstLine="0" w:firstLineChars="0"/>
        <w:jc w:val="center"/>
        <w:rPr>
          <w:rFonts w:ascii="方正小标宋简体" w:hAnsi="方正小标宋简体" w:eastAsia="方正小标宋简体" w:cs="方正小标宋简体"/>
          <w:color w:val="auto"/>
          <w:spacing w:val="-6"/>
          <w:kern w:val="2"/>
          <w:sz w:val="44"/>
          <w:szCs w:val="44"/>
        </w:rPr>
      </w:pPr>
      <w:r>
        <w:rPr>
          <w:rFonts w:hint="eastAsia" w:ascii="方正小标宋简体" w:hAnsi="方正小标宋简体" w:eastAsia="方正小标宋简体" w:cs="方正小标宋简体"/>
          <w:color w:val="auto"/>
          <w:spacing w:val="-6"/>
          <w:kern w:val="2"/>
          <w:sz w:val="44"/>
          <w:szCs w:val="44"/>
        </w:rPr>
        <w:t>“工改工”宗地项目A地块“三旧”改造方案</w:t>
      </w:r>
    </w:p>
    <w:p>
      <w:pPr>
        <w:spacing w:line="574" w:lineRule="exact"/>
        <w:ind w:firstLine="616"/>
        <w:jc w:val="both"/>
        <w:rPr>
          <w:rFonts w:ascii="仿宋_GB2312" w:hAnsi="仿宋_GB2312" w:eastAsia="仿宋_GB2312" w:cs="仿宋_GB2312"/>
          <w:color w:val="auto"/>
          <w:spacing w:val="-6"/>
          <w:sz w:val="32"/>
          <w:szCs w:val="32"/>
        </w:rPr>
      </w:pPr>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根据中山市城市更新（“三旧”改造）专项规划和现行控制性详细规划，黄圃镇人民政府拟对位于黄圃镇大雁村的中山市黄圃镇大雁村股份合作经济联合社（下称“大雁村经联社”）旧厂房用地进行改造，由大雁村经联社通过中山市农村集体“三资”管理服务平台公开遴选确定企业合作改造，采取全面改造的改造方式。改造方案如下：</w:t>
      </w:r>
    </w:p>
    <w:p>
      <w:pPr>
        <w:numPr>
          <w:ilvl w:val="0"/>
          <w:numId w:val="1"/>
        </w:numPr>
        <w:spacing w:line="574" w:lineRule="exact"/>
        <w:ind w:firstLine="616"/>
        <w:jc w:val="both"/>
        <w:rPr>
          <w:rFonts w:ascii="黑体" w:hAnsi="黑体" w:eastAsia="黑体" w:cs="黑体"/>
          <w:color w:val="auto"/>
          <w:spacing w:val="-6"/>
          <w:sz w:val="32"/>
          <w:szCs w:val="32"/>
        </w:rPr>
      </w:pPr>
      <w:r>
        <w:rPr>
          <w:rFonts w:hint="eastAsia" w:ascii="黑体" w:hAnsi="黑体" w:eastAsia="黑体" w:cs="黑体"/>
          <w:color w:val="auto"/>
          <w:spacing w:val="-6"/>
          <w:sz w:val="32"/>
          <w:szCs w:val="32"/>
        </w:rPr>
        <w:t>改造项目基本情况</w:t>
      </w:r>
    </w:p>
    <w:p>
      <w:pPr>
        <w:spacing w:line="574" w:lineRule="exact"/>
        <w:ind w:firstLine="616"/>
        <w:jc w:val="both"/>
        <w:rPr>
          <w:rFonts w:ascii="楷体" w:hAnsi="楷体" w:eastAsia="楷体" w:cs="楷体"/>
          <w:color w:val="auto"/>
          <w:spacing w:val="-6"/>
          <w:kern w:val="2"/>
          <w:sz w:val="32"/>
          <w:szCs w:val="32"/>
        </w:rPr>
      </w:pPr>
      <w:r>
        <w:rPr>
          <w:rFonts w:hint="eastAsia" w:ascii="楷体" w:hAnsi="楷体" w:eastAsia="楷体" w:cs="楷体"/>
          <w:color w:val="auto"/>
          <w:spacing w:val="-6"/>
          <w:kern w:val="2"/>
          <w:sz w:val="32"/>
          <w:szCs w:val="32"/>
        </w:rPr>
        <w:t>（一）总体情况</w:t>
      </w:r>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改造地块位于圃灵路与雁东三路交界处，东至雁东三路，南临中山市科德隆制冷有限公司，西至黄焯辉、吴韵云、梁建雄用地，北至蔡锡锋用地，面积1.6476公顷（16475.61平方米，折合24.71亩）。</w:t>
      </w:r>
    </w:p>
    <w:p>
      <w:pPr>
        <w:spacing w:line="574" w:lineRule="exact"/>
        <w:ind w:firstLine="616"/>
        <w:jc w:val="both"/>
        <w:rPr>
          <w:rFonts w:ascii="楷体" w:hAnsi="楷体" w:eastAsia="楷体" w:cs="楷体"/>
          <w:color w:val="auto"/>
          <w:spacing w:val="-6"/>
          <w:kern w:val="2"/>
          <w:sz w:val="32"/>
          <w:szCs w:val="32"/>
        </w:rPr>
      </w:pPr>
      <w:r>
        <w:rPr>
          <w:rFonts w:hint="eastAsia" w:ascii="楷体" w:hAnsi="楷体" w:eastAsia="楷体" w:cs="楷体"/>
          <w:color w:val="auto"/>
          <w:spacing w:val="-6"/>
          <w:kern w:val="2"/>
          <w:sz w:val="32"/>
          <w:szCs w:val="32"/>
        </w:rPr>
        <w:t>（二）标图入库情况</w:t>
      </w:r>
    </w:p>
    <w:p>
      <w:pPr>
        <w:spacing w:line="574" w:lineRule="exact"/>
        <w:ind w:firstLine="616"/>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改造地块已于</w:t>
      </w:r>
      <w:r>
        <w:rPr>
          <w:rFonts w:ascii="仿宋_GB2312" w:hAnsi="仿宋_GB2312" w:eastAsia="仿宋_GB2312" w:cs="仿宋_GB2312"/>
          <w:color w:val="auto"/>
          <w:spacing w:val="-6"/>
          <w:sz w:val="32"/>
          <w:szCs w:val="32"/>
        </w:rPr>
        <w:t>2012年6月纳入“三旧”标图入库</w:t>
      </w:r>
      <w:r>
        <w:rPr>
          <w:rFonts w:hint="eastAsia" w:ascii="仿宋_GB2312" w:eastAsia="仿宋_GB2312"/>
          <w:color w:val="auto"/>
          <w:sz w:val="32"/>
          <w:szCs w:val="32"/>
        </w:rPr>
        <w:t>，图斑编号</w:t>
      </w:r>
      <w:r>
        <w:rPr>
          <w:rFonts w:ascii="仿宋_GB2312" w:hAnsi="仿宋_GB2312" w:eastAsia="仿宋_GB2312" w:cs="仿宋_GB2312"/>
          <w:color w:val="auto"/>
          <w:spacing w:val="-6"/>
          <w:sz w:val="32"/>
          <w:szCs w:val="32"/>
        </w:rPr>
        <w:t>44200026422</w:t>
      </w:r>
      <w:r>
        <w:rPr>
          <w:rFonts w:hint="eastAsia" w:ascii="仿宋_GB2312" w:eastAsia="仿宋_GB2312"/>
          <w:color w:val="auto"/>
          <w:sz w:val="32"/>
          <w:szCs w:val="32"/>
        </w:rPr>
        <w:t>、</w:t>
      </w:r>
      <w:r>
        <w:rPr>
          <w:rFonts w:ascii="仿宋_GB2312" w:hAnsi="仿宋_GB2312" w:eastAsia="仿宋_GB2312" w:cs="仿宋_GB2312"/>
          <w:color w:val="auto"/>
          <w:spacing w:val="-6"/>
          <w:sz w:val="32"/>
          <w:szCs w:val="32"/>
        </w:rPr>
        <w:t>44200043535</w:t>
      </w:r>
      <w:r>
        <w:rPr>
          <w:rFonts w:hint="eastAsia" w:ascii="仿宋_GB2312" w:hAnsi="仿宋_GB2312" w:eastAsia="仿宋_GB2312" w:cs="仿宋_GB2312"/>
          <w:color w:val="auto"/>
          <w:spacing w:val="-6"/>
          <w:sz w:val="32"/>
          <w:szCs w:val="32"/>
        </w:rPr>
        <w:t>，纳入改造</w:t>
      </w:r>
      <w:r>
        <w:rPr>
          <w:rFonts w:hint="eastAsia" w:ascii="仿宋_GB2312" w:eastAsia="仿宋_GB2312"/>
          <w:color w:val="auto"/>
          <w:sz w:val="32"/>
          <w:szCs w:val="32"/>
        </w:rPr>
        <w:t>图斑面积</w:t>
      </w:r>
      <w:r>
        <w:rPr>
          <w:rFonts w:hint="eastAsia" w:ascii="仿宋_GB2312" w:hAnsi="仿宋_GB2312" w:eastAsia="仿宋_GB2312" w:cs="仿宋_GB2312"/>
          <w:color w:val="auto"/>
          <w:spacing w:val="-6"/>
          <w:sz w:val="32"/>
          <w:szCs w:val="32"/>
        </w:rPr>
        <w:t>1.6476公顷（16475.61平方米，折合24.71亩），纳入本次改造范围。</w:t>
      </w:r>
    </w:p>
    <w:p>
      <w:pPr>
        <w:spacing w:line="574" w:lineRule="exact"/>
        <w:ind w:firstLine="616"/>
        <w:jc w:val="both"/>
        <w:rPr>
          <w:rFonts w:ascii="楷体" w:hAnsi="楷体" w:eastAsia="楷体" w:cs="楷体"/>
          <w:color w:val="auto"/>
          <w:spacing w:val="-6"/>
          <w:kern w:val="2"/>
          <w:sz w:val="32"/>
          <w:szCs w:val="32"/>
        </w:rPr>
      </w:pPr>
      <w:r>
        <w:rPr>
          <w:rFonts w:hint="eastAsia" w:ascii="楷体" w:hAnsi="楷体" w:eastAsia="楷体" w:cs="楷体"/>
          <w:color w:val="auto"/>
          <w:spacing w:val="-6"/>
          <w:kern w:val="2"/>
          <w:sz w:val="32"/>
          <w:szCs w:val="32"/>
        </w:rPr>
        <w:t>（三）权属情况</w:t>
      </w:r>
    </w:p>
    <w:p>
      <w:pPr>
        <w:spacing w:line="574" w:lineRule="exact"/>
        <w:ind w:firstLine="616"/>
        <w:jc w:val="both"/>
        <w:rPr>
          <w:rFonts w:ascii="仿宋_GB2312" w:hAnsi="仿宋_GB2312" w:eastAsia="仿宋_GB2312" w:cs="仿宋_GB2312"/>
          <w:b/>
          <w:color w:val="auto"/>
          <w:spacing w:val="-6"/>
          <w:sz w:val="32"/>
          <w:szCs w:val="32"/>
        </w:rPr>
      </w:pPr>
      <w:r>
        <w:rPr>
          <w:rFonts w:hint="eastAsia" w:ascii="仿宋_GB2312" w:hAnsi="仿宋_GB2312" w:eastAsia="仿宋_GB2312" w:cs="仿宋_GB2312"/>
          <w:color w:val="auto"/>
          <w:spacing w:val="-6"/>
          <w:sz w:val="32"/>
          <w:szCs w:val="32"/>
        </w:rPr>
        <w:t>改造地块全部属大雁村经联社所有的集体建设用地，所有权证号为中府集有（</w:t>
      </w:r>
      <w:r>
        <w:rPr>
          <w:rFonts w:ascii="仿宋_GB2312" w:hAnsi="仿宋_GB2312" w:eastAsia="仿宋_GB2312" w:cs="仿宋_GB2312"/>
          <w:color w:val="auto"/>
          <w:spacing w:val="-6"/>
          <w:sz w:val="32"/>
          <w:szCs w:val="32"/>
        </w:rPr>
        <w:t>2015）第0100011号，无合法用地手续，</w:t>
      </w:r>
      <w:r>
        <w:rPr>
          <w:rFonts w:hint="eastAsia" w:ascii="仿宋_GB2312" w:hAnsi="仿宋_GB2312" w:eastAsia="仿宋_GB2312" w:cs="仿宋_GB2312"/>
          <w:color w:val="auto"/>
          <w:spacing w:val="-6"/>
          <w:sz w:val="32"/>
          <w:szCs w:val="32"/>
        </w:rPr>
        <w:t>由大雁村民委员会自</w:t>
      </w:r>
      <w:r>
        <w:rPr>
          <w:rFonts w:ascii="仿宋_GB2312" w:hAnsi="仿宋_GB2312" w:eastAsia="仿宋_GB2312" w:cs="仿宋_GB2312"/>
          <w:color w:val="auto"/>
          <w:spacing w:val="-6"/>
          <w:sz w:val="32"/>
          <w:szCs w:val="32"/>
        </w:rPr>
        <w:t xml:space="preserve">2004年5月开始使用。 </w:t>
      </w:r>
    </w:p>
    <w:p>
      <w:pPr>
        <w:spacing w:line="574" w:lineRule="exact"/>
        <w:ind w:firstLine="616"/>
        <w:jc w:val="both"/>
        <w:rPr>
          <w:rFonts w:ascii="楷体" w:hAnsi="楷体" w:eastAsia="楷体" w:cs="楷体"/>
          <w:color w:val="auto"/>
          <w:spacing w:val="-6"/>
          <w:kern w:val="2"/>
          <w:sz w:val="32"/>
          <w:szCs w:val="32"/>
        </w:rPr>
      </w:pPr>
      <w:r>
        <w:rPr>
          <w:rFonts w:hint="eastAsia" w:ascii="楷体" w:hAnsi="楷体" w:eastAsia="楷体" w:cs="楷体"/>
          <w:color w:val="auto"/>
          <w:spacing w:val="-6"/>
          <w:kern w:val="2"/>
          <w:sz w:val="32"/>
          <w:szCs w:val="32"/>
        </w:rPr>
        <w:t>（四）土地现状情况</w:t>
      </w:r>
    </w:p>
    <w:p>
      <w:pPr>
        <w:spacing w:line="574" w:lineRule="exact"/>
        <w:ind w:firstLine="616"/>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地块现状为建设用地1.6476公顷（16475.61平方米，折合24.71亩），不涉及纳入改造范围整体利用的边角地、夹心地、插花地（下称“三地”）、其他用地、征地留用地、与原“三旧”用地置换的“三旧”用地或其他存量建设用地、使用原“三旧”用地复垦产生的规模或指标的非建设用地。</w:t>
      </w:r>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改造地块现状为建设用地1.6476公顷（16475.61平方米，折合24.71亩）</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不涉及农用地、未利用地。</w:t>
      </w:r>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改造地块现有</w:t>
      </w:r>
      <w:r>
        <w:rPr>
          <w:rFonts w:ascii="仿宋_GB2312" w:hAnsi="仿宋_GB2312" w:eastAsia="仿宋_GB2312" w:cs="仿宋_GB2312"/>
          <w:color w:val="auto"/>
          <w:spacing w:val="-6"/>
          <w:sz w:val="32"/>
          <w:szCs w:val="32"/>
        </w:rPr>
        <w:t>5</w:t>
      </w:r>
      <w:r>
        <w:rPr>
          <w:rFonts w:hint="eastAsia" w:ascii="仿宋_GB2312" w:hAnsi="仿宋_GB2312" w:eastAsia="仿宋_GB2312" w:cs="仿宋_GB2312"/>
          <w:color w:val="auto"/>
          <w:spacing w:val="-6"/>
          <w:sz w:val="32"/>
          <w:szCs w:val="32"/>
        </w:rPr>
        <w:t>栋建筑物，由大雁村民委员会自</w:t>
      </w:r>
      <w:r>
        <w:rPr>
          <w:rFonts w:ascii="仿宋_GB2312" w:hAnsi="仿宋_GB2312" w:eastAsia="仿宋_GB2312" w:cs="仿宋_GB2312"/>
          <w:color w:val="auto"/>
          <w:spacing w:val="-6"/>
          <w:sz w:val="32"/>
          <w:szCs w:val="32"/>
        </w:rPr>
        <w:t>2004年5月开始使用。无合法规划报建手续，现有建筑面积</w:t>
      </w:r>
      <w:r>
        <w:rPr>
          <w:rFonts w:ascii="仿宋_GB2312" w:eastAsia="仿宋_GB2312" w:cs="Times New Roman"/>
          <w:color w:val="auto"/>
          <w:sz w:val="32"/>
          <w:szCs w:val="32"/>
        </w:rPr>
        <w:t>12844.75</w:t>
      </w:r>
      <w:r>
        <w:rPr>
          <w:rFonts w:hint="eastAsia" w:ascii="仿宋_GB2312" w:hAnsi="仿宋_GB2312" w:eastAsia="仿宋_GB2312" w:cs="仿宋_GB2312"/>
          <w:color w:val="auto"/>
          <w:spacing w:val="-6"/>
          <w:sz w:val="32"/>
          <w:szCs w:val="32"/>
        </w:rPr>
        <w:t>平方米，现状容积率为</w:t>
      </w:r>
      <w:r>
        <w:rPr>
          <w:rFonts w:ascii="仿宋_GB2312" w:hAnsi="仿宋_GB2312" w:eastAsia="仿宋_GB2312" w:cs="仿宋_GB2312"/>
          <w:color w:val="auto"/>
          <w:spacing w:val="-6"/>
          <w:sz w:val="32"/>
          <w:szCs w:val="32"/>
        </w:rPr>
        <w:t>0.78</w:t>
      </w:r>
      <w:r>
        <w:rPr>
          <w:rFonts w:hint="eastAsia" w:ascii="仿宋_GB2312" w:hAnsi="仿宋_GB2312" w:eastAsia="仿宋_GB2312" w:cs="仿宋_GB2312"/>
          <w:color w:val="auto"/>
          <w:spacing w:val="-6"/>
          <w:sz w:val="32"/>
          <w:szCs w:val="32"/>
        </w:rPr>
        <w:t>，作出租厂房以及配套仓储使用。该地块目前已拆除建筑面积</w:t>
      </w:r>
      <w:r>
        <w:rPr>
          <w:rFonts w:hint="eastAsia" w:ascii="仿宋_GB2312" w:hAnsi="仿宋_GB2312" w:eastAsia="仿宋_GB2312" w:cs="仿宋_GB2312"/>
          <w:color w:val="auto"/>
          <w:spacing w:val="-6"/>
          <w:sz w:val="32"/>
          <w:szCs w:val="32"/>
          <w:lang w:val="en-US" w:eastAsia="zh-CN"/>
        </w:rPr>
        <w:t>5000</w:t>
      </w:r>
      <w:r>
        <w:rPr>
          <w:rFonts w:ascii="仿宋_GB2312" w:hAnsi="仿宋_GB2312" w:eastAsia="仿宋_GB2312" w:cs="仿宋_GB2312"/>
          <w:color w:val="auto"/>
          <w:spacing w:val="-6"/>
          <w:sz w:val="32"/>
          <w:szCs w:val="32"/>
        </w:rPr>
        <w:t>平方米。改造前年产值约为</w:t>
      </w:r>
      <w:r>
        <w:rPr>
          <w:rFonts w:hint="eastAsia" w:ascii="仿宋_GB2312" w:hAnsi="仿宋_GB2312" w:eastAsia="仿宋_GB2312" w:cs="仿宋_GB2312"/>
          <w:color w:val="auto"/>
          <w:spacing w:val="-6"/>
          <w:sz w:val="32"/>
          <w:szCs w:val="32"/>
        </w:rPr>
        <w:t>4100万元，年税收约为180万元。</w:t>
      </w:r>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改造地块不涉及闲置、抵押、历史文化资源要素等情况。</w:t>
      </w:r>
    </w:p>
    <w:p>
      <w:pPr>
        <w:spacing w:line="574" w:lineRule="exact"/>
        <w:ind w:firstLine="616"/>
        <w:jc w:val="both"/>
        <w:rPr>
          <w:rFonts w:ascii="楷体" w:hAnsi="楷体" w:eastAsia="楷体" w:cs="楷体"/>
          <w:color w:val="auto"/>
          <w:spacing w:val="-6"/>
          <w:kern w:val="2"/>
          <w:sz w:val="32"/>
          <w:szCs w:val="32"/>
        </w:rPr>
      </w:pPr>
      <w:r>
        <w:rPr>
          <w:rFonts w:hint="eastAsia" w:ascii="楷体" w:hAnsi="楷体" w:eastAsia="楷体" w:cs="楷体"/>
          <w:color w:val="auto"/>
          <w:spacing w:val="-6"/>
          <w:kern w:val="2"/>
          <w:sz w:val="32"/>
          <w:szCs w:val="32"/>
        </w:rPr>
        <w:t>（五）规划情况</w:t>
      </w:r>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改造地块符合土地利用总体规划、控制性详细规划，已纳入《中山市“三旧”改造（城市更新）专项规划（</w:t>
      </w:r>
      <w:r>
        <w:rPr>
          <w:rFonts w:ascii="仿宋_GB2312" w:hAnsi="仿宋_GB2312" w:eastAsia="仿宋_GB2312" w:cs="仿宋_GB2312"/>
          <w:color w:val="auto"/>
          <w:spacing w:val="-6"/>
          <w:sz w:val="32"/>
          <w:szCs w:val="32"/>
        </w:rPr>
        <w:t>2017-2020）</w:t>
      </w:r>
      <w:r>
        <w:rPr>
          <w:rFonts w:hint="eastAsia" w:ascii="仿宋_GB2312" w:hAnsi="仿宋_GB2312" w:eastAsia="仿宋_GB2312" w:cs="仿宋_GB2312"/>
          <w:color w:val="auto"/>
          <w:spacing w:val="-6"/>
          <w:sz w:val="32"/>
          <w:szCs w:val="32"/>
        </w:rPr>
        <w:t>》。其中，在《黄圃镇土地利用总体规划（</w:t>
      </w:r>
      <w:r>
        <w:rPr>
          <w:rFonts w:ascii="仿宋_GB2312" w:hAnsi="仿宋_GB2312" w:eastAsia="仿宋_GB2312" w:cs="仿宋_GB2312"/>
          <w:color w:val="auto"/>
          <w:spacing w:val="-6"/>
          <w:sz w:val="32"/>
          <w:szCs w:val="32"/>
        </w:rPr>
        <w:t>2010-2020年）调整完善》中，属城镇建设用地</w:t>
      </w:r>
      <w:r>
        <w:rPr>
          <w:rFonts w:hint="eastAsia" w:ascii="仿宋_GB2312" w:hAnsi="仿宋_GB2312" w:eastAsia="仿宋_GB2312" w:cs="仿宋_GB2312"/>
          <w:color w:val="auto"/>
          <w:spacing w:val="-6"/>
          <w:sz w:val="32"/>
          <w:szCs w:val="32"/>
        </w:rPr>
        <w:t>1.6476公顷（16475.61平方米，折合24.71亩）。在《中山市黄圃镇大雁工业片区控制性详细规划调整（</w:t>
      </w:r>
      <w:r>
        <w:rPr>
          <w:rFonts w:ascii="仿宋_GB2312" w:hAnsi="仿宋_GB2312" w:eastAsia="仿宋_GB2312" w:cs="仿宋_GB2312"/>
          <w:color w:val="auto"/>
          <w:spacing w:val="-6"/>
          <w:sz w:val="32"/>
          <w:szCs w:val="32"/>
        </w:rPr>
        <w:t xml:space="preserve">2022）》（中府函〔2022〕48 </w:t>
      </w:r>
      <w:r>
        <w:rPr>
          <w:rFonts w:hint="eastAsia" w:ascii="仿宋_GB2312" w:hAnsi="仿宋_GB2312" w:eastAsia="仿宋_GB2312" w:cs="仿宋_GB2312"/>
          <w:color w:val="auto"/>
          <w:spacing w:val="-6"/>
          <w:sz w:val="32"/>
          <w:szCs w:val="32"/>
        </w:rPr>
        <w:t>号）中，一类工业用地</w:t>
      </w:r>
      <w:r>
        <w:rPr>
          <w:rFonts w:ascii="仿宋_GB2312" w:hAnsi="仿宋_GB2312" w:eastAsia="仿宋_GB2312" w:cs="仿宋_GB2312"/>
          <w:color w:val="auto"/>
          <w:spacing w:val="-6"/>
          <w:sz w:val="32"/>
          <w:szCs w:val="32"/>
        </w:rPr>
        <w:t>1.6157</w:t>
      </w:r>
      <w:r>
        <w:rPr>
          <w:rFonts w:hint="eastAsia" w:ascii="仿宋_GB2312" w:hAnsi="仿宋_GB2312" w:eastAsia="仿宋_GB2312" w:cs="仿宋_GB2312"/>
          <w:color w:val="auto"/>
          <w:spacing w:val="-6"/>
          <w:sz w:val="32"/>
          <w:szCs w:val="32"/>
        </w:rPr>
        <w:t>公顷（</w:t>
      </w:r>
      <w:r>
        <w:rPr>
          <w:rFonts w:hint="eastAsia" w:ascii="仿宋_GB2312" w:eastAsia="仿宋_GB2312" w:cs="Times New Roman"/>
          <w:color w:val="auto"/>
          <w:sz w:val="32"/>
          <w:szCs w:val="32"/>
        </w:rPr>
        <w:t>16156.48平方米，折合</w:t>
      </w:r>
      <w:r>
        <w:rPr>
          <w:rFonts w:hint="eastAsia" w:ascii="仿宋_GB2312" w:hAnsi="Calibri" w:eastAsia="仿宋_GB2312" w:cs="Times New Roman"/>
          <w:color w:val="auto"/>
          <w:sz w:val="32"/>
          <w:szCs w:val="32"/>
        </w:rPr>
        <w:t>24.23</w:t>
      </w:r>
      <w:r>
        <w:rPr>
          <w:rFonts w:hint="eastAsia" w:ascii="仿宋_GB2312" w:eastAsia="仿宋_GB2312" w:cs="Times New Roman"/>
          <w:color w:val="auto"/>
          <w:sz w:val="32"/>
          <w:szCs w:val="32"/>
        </w:rPr>
        <w:t>亩）</w:t>
      </w:r>
      <w:r>
        <w:rPr>
          <w:rFonts w:hint="eastAsia" w:ascii="仿宋_GB2312" w:hAnsi="仿宋_GB2312" w:eastAsia="仿宋_GB2312" w:cs="仿宋_GB2312"/>
          <w:color w:val="auto"/>
          <w:spacing w:val="-6"/>
          <w:sz w:val="32"/>
          <w:szCs w:val="32"/>
        </w:rPr>
        <w:t>，规划容积率</w:t>
      </w:r>
      <w:r>
        <w:rPr>
          <w:rFonts w:ascii="仿宋_GB2312" w:hAnsi="仿宋_GB2312" w:eastAsia="仿宋_GB2312" w:cs="仿宋_GB2312"/>
          <w:color w:val="auto"/>
          <w:spacing w:val="-6"/>
          <w:sz w:val="32"/>
          <w:szCs w:val="32"/>
        </w:rPr>
        <w:t>1.0-3.5，建筑密度35%-60%，绿地率10%-15%，建筑高度</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50米</w:t>
      </w:r>
      <w:r>
        <w:rPr>
          <w:rFonts w:hint="eastAsia" w:ascii="仿宋_GB2312" w:hAnsi="仿宋_GB2312" w:eastAsia="仿宋_GB2312" w:cs="仿宋_GB2312"/>
          <w:color w:val="auto"/>
          <w:spacing w:val="-6"/>
          <w:sz w:val="32"/>
          <w:szCs w:val="32"/>
        </w:rPr>
        <w:t>；道路用地</w:t>
      </w:r>
      <w:r>
        <w:rPr>
          <w:rFonts w:ascii="仿宋_GB2312" w:hAnsi="仿宋_GB2312" w:eastAsia="仿宋_GB2312" w:cs="仿宋_GB2312"/>
          <w:color w:val="auto"/>
          <w:spacing w:val="-6"/>
          <w:sz w:val="32"/>
          <w:szCs w:val="32"/>
        </w:rPr>
        <w:t>0.0319</w:t>
      </w:r>
      <w:r>
        <w:rPr>
          <w:rFonts w:hint="eastAsia" w:ascii="仿宋_GB2312" w:hAnsi="仿宋_GB2312" w:eastAsia="仿宋_GB2312" w:cs="仿宋_GB2312"/>
          <w:color w:val="auto"/>
          <w:spacing w:val="-6"/>
          <w:sz w:val="32"/>
          <w:szCs w:val="32"/>
        </w:rPr>
        <w:t>公顷（</w:t>
      </w:r>
      <w:r>
        <w:rPr>
          <w:rFonts w:ascii="仿宋_GB2312" w:hAnsi="仿宋_GB2312" w:eastAsia="仿宋_GB2312" w:cs="仿宋_GB2312"/>
          <w:color w:val="auto"/>
          <w:spacing w:val="-6"/>
          <w:sz w:val="32"/>
          <w:szCs w:val="32"/>
        </w:rPr>
        <w:t>319.13</w:t>
      </w:r>
      <w:r>
        <w:rPr>
          <w:rFonts w:hint="eastAsia" w:ascii="仿宋_GB2312" w:hAnsi="仿宋_GB2312" w:eastAsia="仿宋_GB2312" w:cs="仿宋_GB2312"/>
          <w:color w:val="auto"/>
          <w:spacing w:val="-6"/>
          <w:sz w:val="32"/>
          <w:szCs w:val="32"/>
        </w:rPr>
        <w:t>平方米，折合</w:t>
      </w:r>
      <w:r>
        <w:rPr>
          <w:rFonts w:ascii="仿宋_GB2312" w:hAnsi="仿宋_GB2312" w:eastAsia="仿宋_GB2312" w:cs="仿宋_GB2312"/>
          <w:color w:val="auto"/>
          <w:spacing w:val="-6"/>
          <w:sz w:val="32"/>
          <w:szCs w:val="32"/>
        </w:rPr>
        <w:t>0.48亩）。</w:t>
      </w:r>
    </w:p>
    <w:p>
      <w:pPr>
        <w:spacing w:line="574" w:lineRule="exact"/>
        <w:ind w:firstLine="616"/>
        <w:jc w:val="both"/>
        <w:rPr>
          <w:rFonts w:ascii="仿宋_GB2312" w:hAnsi="仿宋_GB2312" w:eastAsia="仿宋_GB2312" w:cs="仿宋_GB2312"/>
          <w:b/>
          <w:color w:val="auto"/>
          <w:spacing w:val="-6"/>
          <w:sz w:val="32"/>
          <w:szCs w:val="32"/>
        </w:rPr>
      </w:pPr>
      <w:r>
        <w:rPr>
          <w:rFonts w:hint="eastAsia" w:ascii="仿宋_GB2312" w:hAnsi="仿宋_GB2312" w:eastAsia="仿宋_GB2312" w:cs="仿宋_GB2312"/>
          <w:color w:val="auto"/>
          <w:spacing w:val="-6"/>
          <w:sz w:val="32"/>
          <w:szCs w:val="32"/>
        </w:rPr>
        <w:t>改造地块位于城镇开发边界内，不涉及永久基本农田、生态保护红线等管控要求。</w:t>
      </w:r>
    </w:p>
    <w:p>
      <w:pPr>
        <w:spacing w:line="574" w:lineRule="exact"/>
        <w:ind w:firstLine="616"/>
        <w:jc w:val="both"/>
        <w:rPr>
          <w:rFonts w:ascii="黑体" w:hAnsi="黑体" w:eastAsia="黑体" w:cs="黑体"/>
          <w:color w:val="auto"/>
          <w:spacing w:val="-6"/>
          <w:sz w:val="32"/>
          <w:szCs w:val="32"/>
        </w:rPr>
      </w:pPr>
      <w:r>
        <w:rPr>
          <w:rFonts w:hint="eastAsia" w:ascii="黑体" w:hAnsi="黑体" w:eastAsia="黑体" w:cs="黑体"/>
          <w:color w:val="auto"/>
          <w:spacing w:val="-6"/>
          <w:sz w:val="32"/>
          <w:szCs w:val="32"/>
        </w:rPr>
        <w:t>二、改造意愿及补偿情况</w:t>
      </w:r>
    </w:p>
    <w:p>
      <w:pPr>
        <w:spacing w:line="574" w:lineRule="exact"/>
        <w:ind w:firstLine="640" w:firstLineChars="0"/>
        <w:jc w:val="both"/>
        <w:rPr>
          <w:rFonts w:ascii="楷体" w:hAnsi="楷体" w:eastAsia="楷体" w:cs="楷体"/>
          <w:color w:val="auto"/>
          <w:spacing w:val="-6"/>
          <w:kern w:val="2"/>
          <w:sz w:val="32"/>
          <w:szCs w:val="32"/>
        </w:rPr>
      </w:pPr>
      <w:r>
        <w:rPr>
          <w:rFonts w:hint="eastAsia" w:ascii="楷体" w:hAnsi="楷体" w:eastAsia="楷体" w:cs="楷体"/>
          <w:color w:val="auto"/>
          <w:spacing w:val="-6"/>
          <w:kern w:val="2"/>
          <w:sz w:val="32"/>
          <w:szCs w:val="32"/>
        </w:rPr>
        <w:t>（</w:t>
      </w:r>
      <w:r>
        <w:rPr>
          <w:rFonts w:hint="eastAsia" w:ascii="楷体" w:hAnsi="楷体" w:eastAsia="楷体" w:cs="楷体"/>
          <w:color w:val="auto"/>
          <w:spacing w:val="-6"/>
          <w:sz w:val="32"/>
          <w:szCs w:val="32"/>
        </w:rPr>
        <w:t>一</w:t>
      </w:r>
      <w:r>
        <w:rPr>
          <w:rFonts w:hint="eastAsia" w:ascii="楷体" w:hAnsi="楷体" w:eastAsia="楷体" w:cs="楷体"/>
          <w:color w:val="auto"/>
          <w:spacing w:val="-6"/>
          <w:kern w:val="2"/>
          <w:sz w:val="32"/>
          <w:szCs w:val="32"/>
        </w:rPr>
        <w:t>）改造意愿情况</w:t>
      </w:r>
    </w:p>
    <w:p>
      <w:pPr>
        <w:spacing w:line="574" w:lineRule="exact"/>
        <w:ind w:firstLine="640" w:firstLineChars="0"/>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改造地块涉及大雁村经联社</w:t>
      </w:r>
      <w:r>
        <w:rPr>
          <w:rFonts w:ascii="仿宋_GB2312" w:hAnsi="仿宋_GB2312" w:eastAsia="仿宋_GB2312" w:cs="仿宋_GB2312"/>
          <w:color w:val="auto"/>
          <w:spacing w:val="-6"/>
          <w:sz w:val="32"/>
          <w:szCs w:val="32"/>
        </w:rPr>
        <w:t>1个权利主体，大雁村经联社</w:t>
      </w:r>
      <w:r>
        <w:rPr>
          <w:rFonts w:hint="eastAsia" w:ascii="仿宋_GB2312" w:hAnsi="仿宋_GB2312" w:eastAsia="仿宋_GB2312" w:cs="仿宋_GB2312"/>
          <w:color w:val="auto"/>
          <w:spacing w:val="-6"/>
          <w:sz w:val="32"/>
          <w:szCs w:val="32"/>
        </w:rPr>
        <w:t>将按照法律法规及我市城市更新（“三旧”改造）政策规定，就改造范围、土地现状、改造主体及拟改造情况等事项充分征求大雁村农村集体经济组织和村民的意见，经大雁村经联社股东代表大会三分之二以上成员表决同意后，再将改造地块办理完善集体建设用地手续并自愿转为国有建设用地，并将涉及土地、房屋纳入改造范围。</w:t>
      </w:r>
    </w:p>
    <w:p>
      <w:pPr>
        <w:spacing w:line="574" w:lineRule="exact"/>
        <w:ind w:firstLine="640" w:firstLineChars="0"/>
        <w:jc w:val="both"/>
        <w:rPr>
          <w:rFonts w:ascii="楷体" w:hAnsi="楷体" w:eastAsia="楷体" w:cs="楷体"/>
          <w:color w:val="auto"/>
          <w:spacing w:val="-6"/>
          <w:kern w:val="2"/>
          <w:sz w:val="32"/>
          <w:szCs w:val="32"/>
        </w:rPr>
      </w:pPr>
      <w:r>
        <w:rPr>
          <w:rFonts w:hint="eastAsia" w:ascii="楷体" w:hAnsi="楷体" w:eastAsia="楷体" w:cs="楷体"/>
          <w:color w:val="auto"/>
          <w:spacing w:val="-6"/>
          <w:kern w:val="2"/>
          <w:sz w:val="32"/>
          <w:szCs w:val="32"/>
        </w:rPr>
        <w:t>（二）补偿安置情况</w:t>
      </w:r>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改造地块不涉及补偿安置情况。</w:t>
      </w:r>
    </w:p>
    <w:p>
      <w:pPr>
        <w:spacing w:line="574" w:lineRule="exact"/>
        <w:ind w:firstLine="616"/>
        <w:jc w:val="both"/>
        <w:rPr>
          <w:rFonts w:ascii="楷体" w:hAnsi="楷体" w:eastAsia="楷体" w:cs="楷体"/>
          <w:color w:val="auto"/>
          <w:spacing w:val="-6"/>
          <w:kern w:val="2"/>
          <w:sz w:val="32"/>
          <w:szCs w:val="32"/>
        </w:rPr>
      </w:pPr>
      <w:r>
        <w:rPr>
          <w:rFonts w:hint="eastAsia" w:ascii="楷体" w:hAnsi="楷体" w:eastAsia="楷体" w:cs="楷体"/>
          <w:color w:val="auto"/>
          <w:spacing w:val="-6"/>
          <w:kern w:val="2"/>
          <w:sz w:val="32"/>
          <w:szCs w:val="32"/>
        </w:rPr>
        <w:t>（三）开展社会稳定风险评估情况</w:t>
      </w:r>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地块范围涉及需办理集体土地完善转用手续的土地1.6476公顷（16475.61平方米，折合24.71亩），黄圃镇人民政府已按规定开展社会稳定风险评估，根据社会稳定风险初步评估结果，本改造项目风险等级为低风险，主要存在社会支持风险、利益相关者联合抵制风险等。</w:t>
      </w:r>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其中，社会支持风险的防范与化解措施为：</w:t>
      </w:r>
      <w:r>
        <w:rPr>
          <w:rFonts w:ascii="仿宋_GB2312" w:hAnsi="仿宋_GB2312" w:eastAsia="仿宋_GB2312" w:cs="仿宋_GB2312"/>
          <w:color w:val="auto"/>
          <w:spacing w:val="-6"/>
          <w:sz w:val="32"/>
          <w:szCs w:val="32"/>
        </w:rPr>
        <w:t>1.加大宣传力度，公开透明地发布项目改造前景、前后收益对比以及项目公开遴选市场主体等相关信息，争取获得群众理解与支持。2.重点加强与土地权属集体经济组织及其股东、现经营厂企的沟通协商，在租约清退、收益分配等方面达成一致意见。3.对于相关利益者的合法合理要求要尽量满足，对于不合理的诉求要细心解释说明，取得相关利益者的理解与支持。责任主体为黄圃镇人民政府，协助单位为黄圃镇宣传部门及综治维稳信访部门。</w:t>
      </w:r>
    </w:p>
    <w:p>
      <w:pPr>
        <w:spacing w:line="574" w:lineRule="exact"/>
        <w:ind w:firstLine="616"/>
        <w:jc w:val="both"/>
        <w:rPr>
          <w:rFonts w:ascii="仿宋_GB2312" w:hAnsi="仿宋_GB2312" w:eastAsia="仿宋_GB2312" w:cs="仿宋_GB2312"/>
          <w:b/>
          <w:color w:val="auto"/>
          <w:spacing w:val="-6"/>
          <w:sz w:val="32"/>
          <w:szCs w:val="32"/>
        </w:rPr>
      </w:pPr>
      <w:r>
        <w:rPr>
          <w:rFonts w:hint="eastAsia" w:ascii="仿宋_GB2312" w:hAnsi="仿宋_GB2312" w:eastAsia="仿宋_GB2312" w:cs="仿宋_GB2312"/>
          <w:color w:val="auto"/>
          <w:spacing w:val="-6"/>
          <w:sz w:val="32"/>
          <w:szCs w:val="32"/>
        </w:rPr>
        <w:t>利益相关者联合抵制风险的防范与化解措施为：</w:t>
      </w:r>
      <w:r>
        <w:rPr>
          <w:rFonts w:ascii="仿宋_GB2312" w:hAnsi="仿宋_GB2312" w:eastAsia="仿宋_GB2312" w:cs="仿宋_GB2312"/>
          <w:color w:val="auto"/>
          <w:spacing w:val="-6"/>
          <w:sz w:val="32"/>
          <w:szCs w:val="32"/>
        </w:rPr>
        <w:t>1.项目实施须对相关利益者有益。2.项目必须广泛、深入了解大雁经联社股东的态度意见，了解他们的改造意愿以及相关诉求。3.向相关利益者耐心说明解释项目实施的利弊，必须与绝大多数相关利益者协商达成一致意见。4.要重点回应经联社股东普遍关心的返还物业等关键问题。责任主体为黄圃镇人民政府，协助单位为综治维稳信访部门、公安部门等。</w:t>
      </w:r>
    </w:p>
    <w:p>
      <w:pPr>
        <w:spacing w:line="574" w:lineRule="exact"/>
        <w:ind w:firstLine="616"/>
        <w:jc w:val="both"/>
        <w:rPr>
          <w:rFonts w:ascii="黑体" w:hAnsi="黑体" w:eastAsia="黑体" w:cs="黑体"/>
          <w:color w:val="auto"/>
          <w:spacing w:val="-6"/>
          <w:sz w:val="32"/>
          <w:szCs w:val="32"/>
        </w:rPr>
      </w:pPr>
      <w:r>
        <w:rPr>
          <w:rFonts w:hint="eastAsia" w:ascii="黑体" w:hAnsi="黑体" w:eastAsia="黑体" w:cs="黑体"/>
          <w:color w:val="auto"/>
          <w:spacing w:val="-6"/>
          <w:sz w:val="32"/>
          <w:szCs w:val="32"/>
        </w:rPr>
        <w:t>三、改造主体、需办理用地手续及拟改造情况</w:t>
      </w:r>
    </w:p>
    <w:p>
      <w:pPr>
        <w:pStyle w:val="43"/>
        <w:spacing w:line="574" w:lineRule="exact"/>
        <w:ind w:firstLine="616" w:firstLineChars="200"/>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根据有关规划要求，改造项目严格按照土地利用总体规划、控制性详细规划管控要求实施建设。</w:t>
      </w:r>
    </w:p>
    <w:p>
      <w:pPr>
        <w:pStyle w:val="43"/>
        <w:spacing w:line="574" w:lineRule="exact"/>
        <w:ind w:firstLine="616" w:firstLineChars="200"/>
        <w:jc w:val="both"/>
        <w:rPr>
          <w:rFonts w:ascii="楷体" w:hAnsi="楷体" w:eastAsia="楷体" w:cs="楷体"/>
          <w:color w:val="auto"/>
          <w:spacing w:val="-6"/>
          <w:sz w:val="32"/>
          <w:szCs w:val="32"/>
        </w:rPr>
      </w:pPr>
      <w:r>
        <w:rPr>
          <w:rFonts w:hint="eastAsia" w:ascii="楷体" w:hAnsi="楷体" w:eastAsia="楷体" w:cs="楷体"/>
          <w:color w:val="auto"/>
          <w:spacing w:val="-6"/>
          <w:sz w:val="32"/>
          <w:szCs w:val="32"/>
        </w:rPr>
        <w:t>（一）改造主体</w:t>
      </w:r>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该改造项目属“工改工”宗地项目，拟采取村企合作改造方式，由大雁村经联社通过中山市农村集体“三资”管理服务平台以公开遴选的方式确定合作企业作为改造主体。</w:t>
      </w:r>
    </w:p>
    <w:p>
      <w:pPr>
        <w:pStyle w:val="43"/>
        <w:spacing w:line="574" w:lineRule="exact"/>
        <w:ind w:firstLine="616" w:firstLineChars="200"/>
        <w:jc w:val="both"/>
        <w:rPr>
          <w:rFonts w:ascii="楷体" w:hAnsi="楷体" w:eastAsia="楷体" w:cs="楷体"/>
          <w:color w:val="auto"/>
          <w:spacing w:val="-6"/>
          <w:sz w:val="32"/>
          <w:szCs w:val="32"/>
        </w:rPr>
      </w:pPr>
      <w:r>
        <w:rPr>
          <w:rFonts w:hint="eastAsia" w:ascii="楷体" w:hAnsi="楷体" w:eastAsia="楷体" w:cs="楷体"/>
          <w:color w:val="auto"/>
          <w:spacing w:val="-6"/>
          <w:sz w:val="32"/>
          <w:szCs w:val="32"/>
        </w:rPr>
        <w:t>（二）需办理的用地手续</w:t>
      </w:r>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范围内1.6476公顷（16475.61平方米，折合24.71亩）用地需办理集体土地完善转用手续，由大雁村经联社自愿申请将该集体建设用地转为国有建设用地。上述用地完善转用、集转国手续后，依据《中山市黄圃镇大雁片区控制性详细规划调整（</w:t>
      </w:r>
      <w:r>
        <w:rPr>
          <w:rFonts w:ascii="仿宋_GB2312" w:hAnsi="仿宋_GB2312" w:eastAsia="仿宋_GB2312" w:cs="仿宋_GB2312"/>
          <w:color w:val="auto"/>
          <w:spacing w:val="-6"/>
          <w:sz w:val="32"/>
          <w:szCs w:val="32"/>
        </w:rPr>
        <w:t xml:space="preserve">2022）》（中府函〔2022〕48 </w:t>
      </w:r>
      <w:r>
        <w:rPr>
          <w:rFonts w:hint="eastAsia" w:ascii="仿宋_GB2312" w:hAnsi="仿宋_GB2312" w:eastAsia="仿宋_GB2312" w:cs="仿宋_GB2312"/>
          <w:color w:val="auto"/>
          <w:spacing w:val="-6"/>
          <w:sz w:val="32"/>
          <w:szCs w:val="32"/>
        </w:rPr>
        <w:t>号）供应土地。其中，一类工业用地1.6157公顷（16156.48平方米，折合</w:t>
      </w:r>
      <w:r>
        <w:rPr>
          <w:rFonts w:ascii="仿宋_GB2312" w:hAnsi="仿宋_GB2312" w:eastAsia="仿宋_GB2312" w:cs="仿宋_GB2312"/>
          <w:color w:val="auto"/>
          <w:spacing w:val="-6"/>
          <w:sz w:val="32"/>
          <w:szCs w:val="32"/>
        </w:rPr>
        <w:t>24.23</w:t>
      </w:r>
      <w:r>
        <w:rPr>
          <w:rFonts w:hint="eastAsia" w:ascii="仿宋_GB2312" w:hAnsi="仿宋_GB2312" w:eastAsia="仿宋_GB2312" w:cs="仿宋_GB2312"/>
          <w:color w:val="auto"/>
          <w:spacing w:val="-6"/>
          <w:sz w:val="32"/>
          <w:szCs w:val="32"/>
        </w:rPr>
        <w:t>亩）拟按容积率</w:t>
      </w:r>
      <w:r>
        <w:rPr>
          <w:rFonts w:ascii="仿宋_GB2312" w:hAnsi="仿宋_GB2312" w:eastAsia="仿宋_GB2312" w:cs="仿宋_GB2312"/>
          <w:color w:val="auto"/>
          <w:spacing w:val="-6"/>
          <w:sz w:val="32"/>
          <w:szCs w:val="32"/>
        </w:rPr>
        <w:t>2.5-3.5</w:t>
      </w:r>
      <w:r>
        <w:rPr>
          <w:rFonts w:hint="eastAsia" w:ascii="仿宋_GB2312" w:hAnsi="仿宋_GB2312" w:eastAsia="仿宋_GB2312" w:cs="仿宋_GB2312"/>
          <w:color w:val="auto"/>
          <w:spacing w:val="-6"/>
          <w:sz w:val="32"/>
          <w:szCs w:val="32"/>
        </w:rPr>
        <w:t>采用协议出让方式供地给改造主体；道路用地</w:t>
      </w:r>
      <w:r>
        <w:rPr>
          <w:rFonts w:ascii="仿宋_GB2312" w:hAnsi="仿宋_GB2312" w:eastAsia="仿宋_GB2312" w:cs="仿宋_GB2312"/>
          <w:color w:val="auto"/>
          <w:spacing w:val="-6"/>
          <w:sz w:val="32"/>
          <w:szCs w:val="32"/>
        </w:rPr>
        <w:t>0.0319</w:t>
      </w:r>
      <w:r>
        <w:rPr>
          <w:rFonts w:hint="eastAsia" w:ascii="仿宋_GB2312" w:hAnsi="仿宋_GB2312" w:eastAsia="仿宋_GB2312" w:cs="仿宋_GB2312"/>
          <w:color w:val="auto"/>
          <w:spacing w:val="-6"/>
          <w:sz w:val="32"/>
          <w:szCs w:val="32"/>
        </w:rPr>
        <w:t>公顷（</w:t>
      </w:r>
      <w:r>
        <w:rPr>
          <w:rFonts w:ascii="仿宋_GB2312" w:hAnsi="仿宋_GB2312" w:eastAsia="仿宋_GB2312" w:cs="仿宋_GB2312"/>
          <w:color w:val="auto"/>
          <w:spacing w:val="-6"/>
          <w:sz w:val="32"/>
          <w:szCs w:val="32"/>
        </w:rPr>
        <w:t>319.13</w:t>
      </w:r>
      <w:r>
        <w:rPr>
          <w:rFonts w:hint="eastAsia" w:ascii="仿宋_GB2312" w:hAnsi="仿宋_GB2312" w:eastAsia="仿宋_GB2312" w:cs="仿宋_GB2312"/>
          <w:color w:val="auto"/>
          <w:spacing w:val="-6"/>
          <w:sz w:val="32"/>
          <w:szCs w:val="32"/>
        </w:rPr>
        <w:t>平方米，折合</w:t>
      </w:r>
      <w:r>
        <w:rPr>
          <w:rFonts w:ascii="仿宋_GB2312" w:hAnsi="仿宋_GB2312" w:eastAsia="仿宋_GB2312" w:cs="仿宋_GB2312"/>
          <w:color w:val="auto"/>
          <w:spacing w:val="-6"/>
          <w:sz w:val="32"/>
          <w:szCs w:val="32"/>
        </w:rPr>
        <w:t>0.48亩）</w:t>
      </w:r>
      <w:r>
        <w:rPr>
          <w:rFonts w:hint="eastAsia" w:ascii="仿宋_GB2312" w:hAnsi="仿宋_GB2312" w:eastAsia="仿宋_GB2312" w:cs="仿宋_GB2312"/>
          <w:color w:val="auto"/>
          <w:spacing w:val="-6"/>
          <w:sz w:val="32"/>
          <w:szCs w:val="32"/>
        </w:rPr>
        <w:t>拟划拨给黄圃镇人民政府。</w:t>
      </w:r>
    </w:p>
    <w:p>
      <w:pPr>
        <w:pStyle w:val="43"/>
        <w:spacing w:line="574" w:lineRule="exact"/>
        <w:ind w:firstLine="616" w:firstLineChars="200"/>
        <w:jc w:val="both"/>
        <w:rPr>
          <w:rFonts w:ascii="楷体" w:hAnsi="楷体" w:eastAsia="楷体" w:cs="楷体"/>
          <w:color w:val="auto"/>
          <w:spacing w:val="-6"/>
          <w:sz w:val="32"/>
          <w:szCs w:val="32"/>
        </w:rPr>
      </w:pPr>
      <w:r>
        <w:rPr>
          <w:rFonts w:hint="eastAsia" w:ascii="楷体" w:hAnsi="楷体" w:eastAsia="楷体" w:cs="楷体"/>
          <w:color w:val="auto"/>
          <w:spacing w:val="-6"/>
          <w:sz w:val="32"/>
          <w:szCs w:val="32"/>
        </w:rPr>
        <w:t>（三）拟改造情况</w:t>
      </w:r>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改造后将用于建设工业厂房。在符合控制性详细规划的基础上，容积率不小于</w:t>
      </w:r>
      <w:r>
        <w:rPr>
          <w:rFonts w:ascii="仿宋_GB2312" w:hAnsi="仿宋_GB2312" w:eastAsia="仿宋_GB2312" w:cs="仿宋_GB2312"/>
          <w:color w:val="auto"/>
          <w:spacing w:val="-6"/>
          <w:sz w:val="32"/>
          <w:szCs w:val="32"/>
        </w:rPr>
        <w:t>2.5，</w:t>
      </w:r>
      <w:r>
        <w:rPr>
          <w:rFonts w:hint="eastAsia" w:ascii="仿宋_GB2312" w:hAnsi="仿宋_GB2312" w:eastAsia="仿宋_GB2312" w:cs="仿宋_GB2312"/>
          <w:color w:val="auto"/>
          <w:spacing w:val="-6"/>
          <w:sz w:val="32"/>
          <w:szCs w:val="32"/>
        </w:rPr>
        <w:t>新建建筑面积不小于40391.21平方米，不保留原有建筑。</w:t>
      </w:r>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项目改造后产业定位为</w:t>
      </w:r>
      <w:r>
        <w:rPr>
          <w:rFonts w:hint="eastAsia" w:ascii="仿宋_GB2312" w:hAnsi="仿宋_GB2312" w:eastAsia="仿宋_GB2312" w:cs="仿宋_GB2312"/>
          <w:color w:val="auto"/>
          <w:sz w:val="32"/>
          <w:szCs w:val="32"/>
        </w:rPr>
        <w:t>智能家电及相关配套产业生产基地，</w:t>
      </w:r>
      <w:r>
        <w:rPr>
          <w:rFonts w:hint="eastAsia" w:ascii="仿宋_GB2312" w:hAnsi="仿宋_GB2312" w:eastAsia="仿宋_GB2312" w:cs="仿宋_GB2312"/>
          <w:color w:val="auto"/>
          <w:spacing w:val="-6"/>
          <w:sz w:val="32"/>
          <w:szCs w:val="32"/>
        </w:rPr>
        <w:t>相关情况符合国家《产业结构调整指导目录》《中山市涉挥发性有机物项目环保准入管理规定》。地块建设投资强度须不低于</w:t>
      </w:r>
      <w:r>
        <w:rPr>
          <w:rFonts w:ascii="仿宋_GB2312" w:hAnsi="仿宋_GB2312" w:eastAsia="仿宋_GB2312" w:cs="仿宋_GB2312"/>
          <w:color w:val="auto"/>
          <w:spacing w:val="-6"/>
          <w:sz w:val="32"/>
          <w:szCs w:val="32"/>
        </w:rPr>
        <w:t>600万元/亩，自达产年</w:t>
      </w:r>
      <w:r>
        <w:rPr>
          <w:rFonts w:ascii="仿宋_GB2312" w:hAnsi="仿宋_GB2312" w:eastAsia="仿宋_GB2312" w:cs="仿宋_GB2312"/>
          <w:color w:val="auto"/>
          <w:spacing w:val="-6"/>
          <w:sz w:val="32"/>
          <w:szCs w:val="32"/>
          <w:vertAlign w:val="superscript"/>
        </w:rPr>
        <w:footnoteReference w:id="0"/>
      </w:r>
      <w:r>
        <w:rPr>
          <w:rFonts w:hint="eastAsia" w:ascii="仿宋_GB2312" w:hAnsi="仿宋_GB2312" w:eastAsia="仿宋_GB2312" w:cs="仿宋_GB2312"/>
          <w:color w:val="auto"/>
          <w:spacing w:val="-6"/>
          <w:sz w:val="32"/>
          <w:szCs w:val="32"/>
        </w:rPr>
        <w:t>起五年内有两年所产生的年产值须不低于600</w:t>
      </w:r>
      <w:r>
        <w:rPr>
          <w:rFonts w:ascii="仿宋_GB2312" w:hAnsi="仿宋_GB2312" w:eastAsia="仿宋_GB2312" w:cs="仿宋_GB2312"/>
          <w:color w:val="auto"/>
          <w:spacing w:val="-6"/>
          <w:sz w:val="32"/>
          <w:szCs w:val="32"/>
        </w:rPr>
        <w:t>万元/亩，年税收</w:t>
      </w:r>
      <w:r>
        <w:rPr>
          <w:rFonts w:hint="eastAsia" w:ascii="仿宋_GB2312" w:hAnsi="仿宋_GB2312" w:eastAsia="仿宋_GB2312" w:cs="仿宋_GB2312"/>
          <w:color w:val="auto"/>
          <w:spacing w:val="-6"/>
          <w:sz w:val="32"/>
          <w:szCs w:val="32"/>
        </w:rPr>
        <w:t>自达产年算起连续五年内有两年将不低于3</w:t>
      </w:r>
      <w:r>
        <w:rPr>
          <w:rFonts w:ascii="仿宋_GB2312" w:hAnsi="仿宋_GB2312" w:eastAsia="仿宋_GB2312" w:cs="仿宋_GB2312"/>
          <w:color w:val="auto"/>
          <w:spacing w:val="-6"/>
          <w:sz w:val="32"/>
          <w:szCs w:val="32"/>
        </w:rPr>
        <w:t>0万元/亩</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以上指标核定均以协议出让的一类工业用地面积计算。</w:t>
      </w:r>
    </w:p>
    <w:p>
      <w:pPr>
        <w:spacing w:line="574" w:lineRule="exact"/>
        <w:ind w:firstLine="616"/>
        <w:jc w:val="both"/>
        <w:rPr>
          <w:rFonts w:ascii="黑体" w:hAnsi="黑体" w:eastAsia="黑体" w:cs="黑体"/>
          <w:color w:val="auto"/>
          <w:spacing w:val="-6"/>
          <w:sz w:val="32"/>
          <w:szCs w:val="32"/>
        </w:rPr>
      </w:pPr>
      <w:r>
        <w:rPr>
          <w:rFonts w:hint="eastAsia" w:ascii="黑体" w:hAnsi="黑体" w:eastAsia="黑体" w:cs="黑体"/>
          <w:color w:val="auto"/>
          <w:spacing w:val="-6"/>
          <w:sz w:val="32"/>
          <w:szCs w:val="32"/>
        </w:rPr>
        <w:t>四、资金筹措</w:t>
      </w:r>
    </w:p>
    <w:p>
      <w:pPr>
        <w:spacing w:line="574" w:lineRule="exact"/>
        <w:ind w:firstLine="616"/>
        <w:jc w:val="both"/>
        <w:rPr>
          <w:rFonts w:ascii="仿宋_GB2312" w:hAnsi="仿宋_GB2312" w:eastAsia="仿宋_GB2312" w:cs="仿宋_GB2312"/>
          <w:b/>
          <w:color w:val="auto"/>
          <w:spacing w:val="-6"/>
          <w:sz w:val="32"/>
          <w:szCs w:val="32"/>
        </w:rPr>
      </w:pPr>
      <w:r>
        <w:rPr>
          <w:rFonts w:hint="eastAsia" w:ascii="仿宋_GB2312" w:hAnsi="仿宋_GB2312" w:eastAsia="仿宋_GB2312" w:cs="仿宋_GB2312"/>
          <w:color w:val="auto"/>
          <w:spacing w:val="-6"/>
          <w:sz w:val="32"/>
          <w:szCs w:val="32"/>
        </w:rPr>
        <w:t>项目改造成本约</w:t>
      </w:r>
      <w:r>
        <w:rPr>
          <w:rFonts w:hint="eastAsia" w:ascii="仿宋_GB2312" w:hAnsi="仿宋_GB2312" w:eastAsia="仿宋_GB2312" w:cs="仿宋_GB2312"/>
          <w:color w:val="auto"/>
          <w:spacing w:val="-6"/>
          <w:sz w:val="32"/>
          <w:szCs w:val="32"/>
          <w:lang w:val="en-US" w:eastAsia="zh-CN"/>
        </w:rPr>
        <w:t>19100</w:t>
      </w:r>
      <w:r>
        <w:rPr>
          <w:rFonts w:hint="eastAsia" w:ascii="仿宋_GB2312" w:hAnsi="仿宋_GB2312" w:eastAsia="仿宋_GB2312" w:cs="仿宋_GB2312"/>
          <w:color w:val="auto"/>
          <w:spacing w:val="-6"/>
          <w:sz w:val="32"/>
          <w:szCs w:val="32"/>
        </w:rPr>
        <w:t>万元，拟由改造主体投入资金建设，计划不分期投入，以上数据以最终实际发生为准。</w:t>
      </w:r>
    </w:p>
    <w:p>
      <w:pPr>
        <w:spacing w:line="574" w:lineRule="exact"/>
        <w:ind w:firstLine="616"/>
        <w:jc w:val="both"/>
        <w:rPr>
          <w:rFonts w:ascii="黑体" w:hAnsi="黑体" w:eastAsia="黑体" w:cs="黑体"/>
          <w:color w:val="auto"/>
          <w:spacing w:val="-6"/>
          <w:sz w:val="32"/>
          <w:szCs w:val="32"/>
        </w:rPr>
      </w:pPr>
      <w:r>
        <w:rPr>
          <w:rFonts w:hint="eastAsia" w:ascii="黑体" w:hAnsi="黑体" w:eastAsia="黑体" w:cs="黑体"/>
          <w:color w:val="auto"/>
          <w:spacing w:val="-6"/>
          <w:sz w:val="32"/>
          <w:szCs w:val="32"/>
        </w:rPr>
        <w:t>五、开发时序</w:t>
      </w:r>
      <w:bookmarkStart w:id="0" w:name="_GoBack"/>
      <w:bookmarkEnd w:id="0"/>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eastAsia="仿宋_GB2312"/>
          <w:color w:val="auto"/>
          <w:sz w:val="32"/>
          <w:szCs w:val="32"/>
        </w:rPr>
        <w:t>项目地块开发周期为</w:t>
      </w:r>
      <w:r>
        <w:rPr>
          <w:rFonts w:ascii="仿宋_GB2312" w:eastAsia="仿宋_GB2312"/>
          <w:color w:val="auto"/>
          <w:sz w:val="32"/>
          <w:szCs w:val="32"/>
          <w:highlight w:val="none"/>
        </w:rPr>
        <w:t>2</w:t>
      </w:r>
      <w:r>
        <w:rPr>
          <w:rFonts w:hint="eastAsia" w:ascii="仿宋_GB2312" w:eastAsia="仿宋_GB2312"/>
          <w:color w:val="auto"/>
          <w:sz w:val="32"/>
          <w:szCs w:val="32"/>
        </w:rPr>
        <w:t>年，</w:t>
      </w:r>
      <w:r>
        <w:rPr>
          <w:rFonts w:hint="eastAsia" w:ascii="仿宋_GB2312" w:hAnsi="仿宋_GB2312" w:eastAsia="仿宋_GB2312" w:cs="仿宋_GB2312"/>
          <w:color w:val="auto"/>
          <w:spacing w:val="-6"/>
          <w:sz w:val="32"/>
          <w:szCs w:val="32"/>
        </w:rPr>
        <w:t>自签订出让合同之日起</w:t>
      </w:r>
      <w:r>
        <w:rPr>
          <w:rFonts w:ascii="仿宋_GB2312" w:hAnsi="仿宋_GB2312" w:eastAsia="仿宋_GB2312" w:cs="仿宋_GB2312"/>
          <w:color w:val="auto"/>
          <w:spacing w:val="-6"/>
          <w:sz w:val="32"/>
          <w:szCs w:val="32"/>
        </w:rPr>
        <w:t xml:space="preserve"> 24个月</w:t>
      </w:r>
      <w:r>
        <w:rPr>
          <w:rFonts w:hint="eastAsia" w:ascii="仿宋_GB2312" w:hAnsi="仿宋_GB2312" w:eastAsia="仿宋_GB2312" w:cs="仿宋_GB2312"/>
          <w:color w:val="auto"/>
          <w:spacing w:val="-6"/>
          <w:sz w:val="32"/>
          <w:szCs w:val="32"/>
        </w:rPr>
        <w:t>内竣工，动工时间2023年8月，不分期投入，主要实施建设工业厂房。具体开发时间、建设内容以签订的土地使用权出让合同、合作协议等相关约定为准。</w:t>
      </w:r>
    </w:p>
    <w:p>
      <w:pPr>
        <w:spacing w:line="574" w:lineRule="exact"/>
        <w:ind w:firstLine="616"/>
        <w:jc w:val="both"/>
        <w:rPr>
          <w:rFonts w:ascii="黑体" w:hAnsi="黑体" w:eastAsia="黑体" w:cs="黑体"/>
          <w:color w:val="auto"/>
          <w:spacing w:val="-6"/>
          <w:sz w:val="32"/>
          <w:szCs w:val="32"/>
        </w:rPr>
      </w:pPr>
      <w:r>
        <w:rPr>
          <w:rFonts w:hint="eastAsia" w:ascii="黑体" w:hAnsi="黑体" w:eastAsia="黑体" w:cs="黑体"/>
          <w:color w:val="auto"/>
          <w:spacing w:val="-6"/>
          <w:sz w:val="32"/>
          <w:szCs w:val="32"/>
        </w:rPr>
        <w:t>六、实施监督</w:t>
      </w:r>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改造主体应当按规定与黄圃镇政府签订项目实施监管协议，并按合作协议、监管协议约定实施改造。</w:t>
      </w:r>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highlight w:val="none"/>
        </w:rPr>
        <w:t>改造主体需以与大雁村经联社协商确定的建设标准</w:t>
      </w:r>
      <w:r>
        <w:rPr>
          <w:rFonts w:hint="eastAsia" w:ascii="仿宋_GB2312" w:hAnsi="仿宋_GB2312" w:eastAsia="仿宋_GB2312" w:cs="仿宋_GB2312"/>
          <w:color w:val="auto"/>
          <w:spacing w:val="-6"/>
          <w:sz w:val="32"/>
          <w:szCs w:val="32"/>
        </w:rPr>
        <w:t>无偿为大雁村经联社建设证载建筑面积</w:t>
      </w:r>
      <w:r>
        <w:rPr>
          <w:rFonts w:hint="eastAsia" w:ascii="仿宋_GB2312" w:hAnsi="仿宋_GB2312" w:eastAsia="仿宋_GB2312" w:cs="仿宋_GB2312"/>
          <w:color w:val="auto"/>
          <w:spacing w:val="-6"/>
          <w:sz w:val="32"/>
          <w:szCs w:val="32"/>
          <w:lang w:val="en-US" w:eastAsia="zh-CN"/>
        </w:rPr>
        <w:t>不少于</w:t>
      </w:r>
      <w:r>
        <w:rPr>
          <w:rFonts w:hint="eastAsia" w:ascii="仿宋_GB2312" w:hAnsi="仿宋_GB2312" w:eastAsia="仿宋_GB2312" w:cs="仿宋_GB2312"/>
          <w:color w:val="auto"/>
          <w:spacing w:val="-6"/>
          <w:sz w:val="32"/>
          <w:szCs w:val="32"/>
        </w:rPr>
        <w:t>14720平方米的工业厂房</w:t>
      </w:r>
      <w:r>
        <w:rPr>
          <w:rFonts w:hint="eastAsia" w:ascii="仿宋_GB2312" w:eastAsia="仿宋_GB2312"/>
          <w:color w:val="auto"/>
          <w:sz w:val="32"/>
          <w:szCs w:val="32"/>
        </w:rPr>
        <w:t>和相应配套的汽车车位（具体数量以技术规范要求为准）</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highlight w:val="none"/>
        </w:rPr>
        <w:t>建设位置为与本地块南面相邻的</w:t>
      </w:r>
      <w:r>
        <w:rPr>
          <w:rFonts w:ascii="仿宋_GB2312" w:hAnsi="仿宋_GB2312" w:eastAsia="仿宋_GB2312" w:cs="仿宋_GB2312"/>
          <w:color w:val="auto"/>
          <w:spacing w:val="-6"/>
          <w:sz w:val="32"/>
          <w:szCs w:val="32"/>
          <w:highlight w:val="none"/>
        </w:rPr>
        <w:t>B</w:t>
      </w:r>
      <w:r>
        <w:rPr>
          <w:rFonts w:hint="eastAsia" w:ascii="仿宋_GB2312" w:hAnsi="仿宋_GB2312" w:eastAsia="仿宋_GB2312" w:cs="仿宋_GB2312"/>
          <w:color w:val="auto"/>
          <w:spacing w:val="-6"/>
          <w:sz w:val="32"/>
          <w:szCs w:val="32"/>
          <w:highlight w:val="none"/>
        </w:rPr>
        <w:t>地块（见附件</w:t>
      </w:r>
      <w:r>
        <w:rPr>
          <w:rFonts w:hint="eastAsia" w:ascii="仿宋_GB2312" w:hAnsi="仿宋_GB2312" w:eastAsia="仿宋_GB2312" w:cs="仿宋_GB2312"/>
          <w:color w:val="auto"/>
          <w:spacing w:val="-6"/>
          <w:sz w:val="32"/>
          <w:szCs w:val="32"/>
          <w:highlight w:val="none"/>
          <w:lang w:val="en-US" w:eastAsia="zh-CN"/>
        </w:rPr>
        <w:t>3</w:t>
      </w:r>
      <w:r>
        <w:rPr>
          <w:rFonts w:hint="default" w:ascii="仿宋_GB2312" w:hAnsi="仿宋_GB2312" w:eastAsia="仿宋_GB2312" w:cs="仿宋_GB2312"/>
          <w:spacing w:val="-6"/>
          <w:kern w:val="0"/>
          <w:sz w:val="32"/>
          <w:szCs w:val="32"/>
          <w:lang w:val="en-US" w:eastAsia="zh-CN"/>
        </w:rPr>
        <w:t>总平面示意图</w:t>
      </w:r>
      <w:r>
        <w:rPr>
          <w:rFonts w:ascii="仿宋_GB2312" w:hAnsi="仿宋_GB2312" w:eastAsia="仿宋_GB2312" w:cs="仿宋_GB2312"/>
          <w:color w:val="auto"/>
          <w:spacing w:val="-6"/>
          <w:sz w:val="32"/>
          <w:szCs w:val="32"/>
          <w:highlight w:val="none"/>
        </w:rPr>
        <w:t>）。</w:t>
      </w:r>
    </w:p>
    <w:p>
      <w:pPr>
        <w:widowControl w:val="0"/>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改造主体未依约依规实施改造的，按合作协议、监管协议约定承担相应责任。</w:t>
      </w:r>
    </w:p>
    <w:p>
      <w:pPr>
        <w:pStyle w:val="2"/>
        <w:widowControl w:val="0"/>
        <w:spacing w:line="574" w:lineRule="exact"/>
        <w:ind w:firstLine="562"/>
        <w:jc w:val="both"/>
        <w:rPr>
          <w:color w:val="auto"/>
        </w:rPr>
      </w:pPr>
    </w:p>
    <w:p>
      <w:pPr>
        <w:spacing w:before="0" w:after="0" w:afterAutospacing="0"/>
        <w:ind w:firstLine="0" w:firstLineChars="0"/>
        <w:jc w:val="center"/>
        <w:rPr>
          <w:rFonts w:ascii="仿宋_GB2312" w:hAnsi="仿宋_GB2312" w:eastAsia="仿宋_GB2312" w:cs="仿宋_GB2312"/>
          <w:color w:val="auto"/>
          <w:spacing w:val="-6"/>
          <w:sz w:val="32"/>
          <w:szCs w:val="32"/>
        </w:rPr>
      </w:pPr>
    </w:p>
    <w:sectPr>
      <w:headerReference r:id="rId5" w:type="default"/>
      <w:footerReference r:id="rId6" w:type="default"/>
      <w:pgSz w:w="11906" w:h="16838"/>
      <w:pgMar w:top="2098" w:right="1417" w:bottom="2098" w:left="141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6</w:t>
                    </w:r>
                    <w:r>
                      <w:fldChar w:fldCharType="end"/>
                    </w:r>
                  </w:p>
                </w:txbxContent>
              </v:textbox>
            </v:shape>
          </w:pict>
        </mc:Fallback>
      </mc:AlternateContent>
    </w:r>
  </w:p>
  <w:p>
    <w:pPr>
      <w:ind w:left="480" w:firstLine="0" w:firstLineChars="0"/>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ind w:firstLine="480"/>
      </w:pPr>
      <w:r>
        <w:separator/>
      </w:r>
    </w:p>
  </w:footnote>
  <w:footnote w:type="continuationSeparator" w:id="3">
    <w:p>
      <w:pPr>
        <w:spacing w:line="360" w:lineRule="auto"/>
        <w:ind w:firstLine="480"/>
      </w:pPr>
      <w:r>
        <w:continuationSeparator/>
      </w:r>
    </w:p>
  </w:footnote>
  <w:footnote w:id="0">
    <w:p>
      <w:pPr>
        <w:pStyle w:val="20"/>
        <w:ind w:firstLine="360"/>
      </w:pPr>
      <w:r>
        <w:rPr>
          <w:rStyle w:val="30"/>
        </w:rPr>
        <w:footnoteRef/>
      </w:r>
      <w:r>
        <w:t xml:space="preserve"> </w:t>
      </w:r>
      <w:r>
        <w:rPr>
          <w:rFonts w:hint="eastAsia"/>
        </w:rPr>
        <w:t>达产年，是指协议出让地块约定的全部工程竣工时限节点起算的第 3 年当年。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BF9B4"/>
    <w:multiLevelType w:val="singleLevel"/>
    <w:tmpl w:val="DCFBF9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revisionView w:markup="0"/>
  <w:trackRevisions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jkyZWM2M2RlOGI4NGU0ZGFlYjViOGJhNzBhZWYifQ=="/>
  </w:docVars>
  <w:rsids>
    <w:rsidRoot w:val="002F62F3"/>
    <w:rsid w:val="000005DC"/>
    <w:rsid w:val="00001355"/>
    <w:rsid w:val="00002385"/>
    <w:rsid w:val="00002691"/>
    <w:rsid w:val="0000305A"/>
    <w:rsid w:val="000121B5"/>
    <w:rsid w:val="00013467"/>
    <w:rsid w:val="00014EBB"/>
    <w:rsid w:val="00015357"/>
    <w:rsid w:val="00020487"/>
    <w:rsid w:val="00030C0D"/>
    <w:rsid w:val="00036572"/>
    <w:rsid w:val="0003712D"/>
    <w:rsid w:val="00043002"/>
    <w:rsid w:val="00044DC5"/>
    <w:rsid w:val="00065B5E"/>
    <w:rsid w:val="00067726"/>
    <w:rsid w:val="00067AAB"/>
    <w:rsid w:val="0007075A"/>
    <w:rsid w:val="0007257A"/>
    <w:rsid w:val="0007513A"/>
    <w:rsid w:val="00076E5D"/>
    <w:rsid w:val="00084DA8"/>
    <w:rsid w:val="00087904"/>
    <w:rsid w:val="000922D6"/>
    <w:rsid w:val="00095384"/>
    <w:rsid w:val="000955CD"/>
    <w:rsid w:val="0009775F"/>
    <w:rsid w:val="000A44B0"/>
    <w:rsid w:val="000C2EFC"/>
    <w:rsid w:val="000C6481"/>
    <w:rsid w:val="000C6D61"/>
    <w:rsid w:val="000C6DCD"/>
    <w:rsid w:val="000C7B05"/>
    <w:rsid w:val="000D1127"/>
    <w:rsid w:val="000D162E"/>
    <w:rsid w:val="000D4CF7"/>
    <w:rsid w:val="000E1AF5"/>
    <w:rsid w:val="000E1EC3"/>
    <w:rsid w:val="000E45B9"/>
    <w:rsid w:val="000E607C"/>
    <w:rsid w:val="000E6C15"/>
    <w:rsid w:val="000F19A2"/>
    <w:rsid w:val="000F5321"/>
    <w:rsid w:val="000F69DB"/>
    <w:rsid w:val="001023F3"/>
    <w:rsid w:val="00104A41"/>
    <w:rsid w:val="001050BB"/>
    <w:rsid w:val="00106857"/>
    <w:rsid w:val="001148C6"/>
    <w:rsid w:val="001152E4"/>
    <w:rsid w:val="00116AE3"/>
    <w:rsid w:val="00122A76"/>
    <w:rsid w:val="00125196"/>
    <w:rsid w:val="00126D67"/>
    <w:rsid w:val="001431DC"/>
    <w:rsid w:val="001443C3"/>
    <w:rsid w:val="00144C96"/>
    <w:rsid w:val="001455D0"/>
    <w:rsid w:val="001665BB"/>
    <w:rsid w:val="00171FA0"/>
    <w:rsid w:val="001749A4"/>
    <w:rsid w:val="00180AAA"/>
    <w:rsid w:val="00181D61"/>
    <w:rsid w:val="00181EA4"/>
    <w:rsid w:val="00182155"/>
    <w:rsid w:val="00192500"/>
    <w:rsid w:val="00194DDB"/>
    <w:rsid w:val="001A0678"/>
    <w:rsid w:val="001A2473"/>
    <w:rsid w:val="001A71A4"/>
    <w:rsid w:val="001B12A8"/>
    <w:rsid w:val="001B24F0"/>
    <w:rsid w:val="001B406F"/>
    <w:rsid w:val="001B46F4"/>
    <w:rsid w:val="001B514B"/>
    <w:rsid w:val="001B51B2"/>
    <w:rsid w:val="001B65E7"/>
    <w:rsid w:val="001B7C56"/>
    <w:rsid w:val="001C0B5F"/>
    <w:rsid w:val="001C116C"/>
    <w:rsid w:val="001C4465"/>
    <w:rsid w:val="001C515F"/>
    <w:rsid w:val="001C567B"/>
    <w:rsid w:val="001E395F"/>
    <w:rsid w:val="001E3C8C"/>
    <w:rsid w:val="001F29B4"/>
    <w:rsid w:val="001F5321"/>
    <w:rsid w:val="00200257"/>
    <w:rsid w:val="00203614"/>
    <w:rsid w:val="00205594"/>
    <w:rsid w:val="002178D5"/>
    <w:rsid w:val="002255ED"/>
    <w:rsid w:val="00225E9E"/>
    <w:rsid w:val="0023316B"/>
    <w:rsid w:val="00233836"/>
    <w:rsid w:val="002363F9"/>
    <w:rsid w:val="002402C0"/>
    <w:rsid w:val="00241E95"/>
    <w:rsid w:val="00241F0F"/>
    <w:rsid w:val="00244324"/>
    <w:rsid w:val="00244A9B"/>
    <w:rsid w:val="0024687F"/>
    <w:rsid w:val="002513F1"/>
    <w:rsid w:val="00251C01"/>
    <w:rsid w:val="0026459A"/>
    <w:rsid w:val="00274584"/>
    <w:rsid w:val="00274F81"/>
    <w:rsid w:val="00276565"/>
    <w:rsid w:val="00281702"/>
    <w:rsid w:val="0028259C"/>
    <w:rsid w:val="00282FF7"/>
    <w:rsid w:val="00287051"/>
    <w:rsid w:val="0029203D"/>
    <w:rsid w:val="00292AFC"/>
    <w:rsid w:val="002956C5"/>
    <w:rsid w:val="00295C3A"/>
    <w:rsid w:val="002A183B"/>
    <w:rsid w:val="002B1F6F"/>
    <w:rsid w:val="002B48C5"/>
    <w:rsid w:val="002C3979"/>
    <w:rsid w:val="002C7E45"/>
    <w:rsid w:val="002D1B7D"/>
    <w:rsid w:val="002D3BCA"/>
    <w:rsid w:val="002D47C1"/>
    <w:rsid w:val="002D5937"/>
    <w:rsid w:val="002E437E"/>
    <w:rsid w:val="002E498A"/>
    <w:rsid w:val="002E520F"/>
    <w:rsid w:val="002F2384"/>
    <w:rsid w:val="002F3A6D"/>
    <w:rsid w:val="002F459B"/>
    <w:rsid w:val="002F62F3"/>
    <w:rsid w:val="002F7C55"/>
    <w:rsid w:val="00300D05"/>
    <w:rsid w:val="003018A9"/>
    <w:rsid w:val="00304A3F"/>
    <w:rsid w:val="003051CE"/>
    <w:rsid w:val="00305F10"/>
    <w:rsid w:val="0030606C"/>
    <w:rsid w:val="003102C3"/>
    <w:rsid w:val="003108AD"/>
    <w:rsid w:val="003153C6"/>
    <w:rsid w:val="00315B3A"/>
    <w:rsid w:val="003236C4"/>
    <w:rsid w:val="003275E5"/>
    <w:rsid w:val="003357EF"/>
    <w:rsid w:val="00342098"/>
    <w:rsid w:val="00342B57"/>
    <w:rsid w:val="00345E4B"/>
    <w:rsid w:val="003460FD"/>
    <w:rsid w:val="00346C0C"/>
    <w:rsid w:val="003625D1"/>
    <w:rsid w:val="00363D8C"/>
    <w:rsid w:val="00366BFB"/>
    <w:rsid w:val="00370F44"/>
    <w:rsid w:val="00373D9E"/>
    <w:rsid w:val="00374D29"/>
    <w:rsid w:val="00383D1A"/>
    <w:rsid w:val="00386654"/>
    <w:rsid w:val="00390826"/>
    <w:rsid w:val="003910F8"/>
    <w:rsid w:val="00392B99"/>
    <w:rsid w:val="003955AA"/>
    <w:rsid w:val="003A287D"/>
    <w:rsid w:val="003A5576"/>
    <w:rsid w:val="003A590A"/>
    <w:rsid w:val="003B1B86"/>
    <w:rsid w:val="003B476D"/>
    <w:rsid w:val="003B4FE2"/>
    <w:rsid w:val="003B61BD"/>
    <w:rsid w:val="003C55DC"/>
    <w:rsid w:val="003D2B54"/>
    <w:rsid w:val="003D3143"/>
    <w:rsid w:val="003D70E8"/>
    <w:rsid w:val="003E06BD"/>
    <w:rsid w:val="003E37E6"/>
    <w:rsid w:val="003E481D"/>
    <w:rsid w:val="003E5C66"/>
    <w:rsid w:val="003E792F"/>
    <w:rsid w:val="003E7F8E"/>
    <w:rsid w:val="003F28A6"/>
    <w:rsid w:val="003F65E4"/>
    <w:rsid w:val="00402A47"/>
    <w:rsid w:val="00407A04"/>
    <w:rsid w:val="00407ACA"/>
    <w:rsid w:val="00410BCD"/>
    <w:rsid w:val="0041200C"/>
    <w:rsid w:val="00413D90"/>
    <w:rsid w:val="00421A47"/>
    <w:rsid w:val="00423402"/>
    <w:rsid w:val="00424856"/>
    <w:rsid w:val="00425AA7"/>
    <w:rsid w:val="004271C1"/>
    <w:rsid w:val="004337B4"/>
    <w:rsid w:val="00440BC3"/>
    <w:rsid w:val="0044374E"/>
    <w:rsid w:val="00446F70"/>
    <w:rsid w:val="00451D40"/>
    <w:rsid w:val="00460810"/>
    <w:rsid w:val="00467534"/>
    <w:rsid w:val="004765DF"/>
    <w:rsid w:val="004822CC"/>
    <w:rsid w:val="00487A85"/>
    <w:rsid w:val="004A17E7"/>
    <w:rsid w:val="004B5B90"/>
    <w:rsid w:val="004C18F8"/>
    <w:rsid w:val="004C5EAD"/>
    <w:rsid w:val="004C611A"/>
    <w:rsid w:val="004D4050"/>
    <w:rsid w:val="004D5410"/>
    <w:rsid w:val="004D5AEB"/>
    <w:rsid w:val="004D62E0"/>
    <w:rsid w:val="004D7EBE"/>
    <w:rsid w:val="004E0B3E"/>
    <w:rsid w:val="004E31DF"/>
    <w:rsid w:val="004E7408"/>
    <w:rsid w:val="004F488D"/>
    <w:rsid w:val="004F7162"/>
    <w:rsid w:val="00502DED"/>
    <w:rsid w:val="00503EFD"/>
    <w:rsid w:val="00504F1E"/>
    <w:rsid w:val="00506922"/>
    <w:rsid w:val="005114F0"/>
    <w:rsid w:val="00514005"/>
    <w:rsid w:val="00515D4D"/>
    <w:rsid w:val="00521FA2"/>
    <w:rsid w:val="00527A41"/>
    <w:rsid w:val="005319C5"/>
    <w:rsid w:val="005351DC"/>
    <w:rsid w:val="0053634F"/>
    <w:rsid w:val="005422E4"/>
    <w:rsid w:val="00542B46"/>
    <w:rsid w:val="005432AD"/>
    <w:rsid w:val="00544E53"/>
    <w:rsid w:val="00551FCE"/>
    <w:rsid w:val="00552ABD"/>
    <w:rsid w:val="0055465D"/>
    <w:rsid w:val="00555348"/>
    <w:rsid w:val="00556313"/>
    <w:rsid w:val="0055732E"/>
    <w:rsid w:val="005637B4"/>
    <w:rsid w:val="00586503"/>
    <w:rsid w:val="00592330"/>
    <w:rsid w:val="005A0C07"/>
    <w:rsid w:val="005A10D5"/>
    <w:rsid w:val="005A449E"/>
    <w:rsid w:val="005A5939"/>
    <w:rsid w:val="005A6585"/>
    <w:rsid w:val="005B0487"/>
    <w:rsid w:val="005B59F5"/>
    <w:rsid w:val="005C04FF"/>
    <w:rsid w:val="005C6294"/>
    <w:rsid w:val="005D165C"/>
    <w:rsid w:val="005D6041"/>
    <w:rsid w:val="005F15A5"/>
    <w:rsid w:val="005F47CC"/>
    <w:rsid w:val="005F573C"/>
    <w:rsid w:val="005F5F18"/>
    <w:rsid w:val="0060296D"/>
    <w:rsid w:val="00603823"/>
    <w:rsid w:val="0061254D"/>
    <w:rsid w:val="0061371A"/>
    <w:rsid w:val="00614F62"/>
    <w:rsid w:val="00615413"/>
    <w:rsid w:val="00616A35"/>
    <w:rsid w:val="006172B6"/>
    <w:rsid w:val="00617799"/>
    <w:rsid w:val="0062030E"/>
    <w:rsid w:val="00621F20"/>
    <w:rsid w:val="0063264C"/>
    <w:rsid w:val="006355FC"/>
    <w:rsid w:val="00635F3D"/>
    <w:rsid w:val="006403B1"/>
    <w:rsid w:val="00641CA5"/>
    <w:rsid w:val="0064220D"/>
    <w:rsid w:val="0064567D"/>
    <w:rsid w:val="00646D9B"/>
    <w:rsid w:val="006558EA"/>
    <w:rsid w:val="00657C71"/>
    <w:rsid w:val="00664151"/>
    <w:rsid w:val="00667F0E"/>
    <w:rsid w:val="00672F0E"/>
    <w:rsid w:val="00687F66"/>
    <w:rsid w:val="0069371C"/>
    <w:rsid w:val="006948C3"/>
    <w:rsid w:val="006A336A"/>
    <w:rsid w:val="006C4789"/>
    <w:rsid w:val="006C6888"/>
    <w:rsid w:val="006D40D8"/>
    <w:rsid w:val="006D4950"/>
    <w:rsid w:val="006D4D31"/>
    <w:rsid w:val="006D68EF"/>
    <w:rsid w:val="006D6C8E"/>
    <w:rsid w:val="006F0D8D"/>
    <w:rsid w:val="006F1953"/>
    <w:rsid w:val="006F2285"/>
    <w:rsid w:val="006F3D0E"/>
    <w:rsid w:val="00701BC0"/>
    <w:rsid w:val="00703E30"/>
    <w:rsid w:val="007049C4"/>
    <w:rsid w:val="00710FF3"/>
    <w:rsid w:val="00711190"/>
    <w:rsid w:val="00716190"/>
    <w:rsid w:val="00724148"/>
    <w:rsid w:val="00724B70"/>
    <w:rsid w:val="00727933"/>
    <w:rsid w:val="00732881"/>
    <w:rsid w:val="00732EFF"/>
    <w:rsid w:val="007351DA"/>
    <w:rsid w:val="00741F7B"/>
    <w:rsid w:val="007500EB"/>
    <w:rsid w:val="0075056F"/>
    <w:rsid w:val="0075078D"/>
    <w:rsid w:val="007512B8"/>
    <w:rsid w:val="00751F2C"/>
    <w:rsid w:val="0075453C"/>
    <w:rsid w:val="00757787"/>
    <w:rsid w:val="00757842"/>
    <w:rsid w:val="00766325"/>
    <w:rsid w:val="00771157"/>
    <w:rsid w:val="00773ADD"/>
    <w:rsid w:val="007749FF"/>
    <w:rsid w:val="00774A8C"/>
    <w:rsid w:val="007752A8"/>
    <w:rsid w:val="00781570"/>
    <w:rsid w:val="0078225F"/>
    <w:rsid w:val="007879E2"/>
    <w:rsid w:val="007915A3"/>
    <w:rsid w:val="00793FEA"/>
    <w:rsid w:val="007956FA"/>
    <w:rsid w:val="00796422"/>
    <w:rsid w:val="007A437B"/>
    <w:rsid w:val="007B16DF"/>
    <w:rsid w:val="007B5E0A"/>
    <w:rsid w:val="007C1EC2"/>
    <w:rsid w:val="007C236F"/>
    <w:rsid w:val="007C465F"/>
    <w:rsid w:val="007C7662"/>
    <w:rsid w:val="007D18B6"/>
    <w:rsid w:val="007D4CE4"/>
    <w:rsid w:val="007D611E"/>
    <w:rsid w:val="007E0BE9"/>
    <w:rsid w:val="007E18B2"/>
    <w:rsid w:val="007E1EED"/>
    <w:rsid w:val="007E5578"/>
    <w:rsid w:val="007E60E8"/>
    <w:rsid w:val="007E7108"/>
    <w:rsid w:val="00800324"/>
    <w:rsid w:val="00801C20"/>
    <w:rsid w:val="008023AC"/>
    <w:rsid w:val="008035AA"/>
    <w:rsid w:val="0080418A"/>
    <w:rsid w:val="00804507"/>
    <w:rsid w:val="0081274B"/>
    <w:rsid w:val="00813228"/>
    <w:rsid w:val="00815A36"/>
    <w:rsid w:val="00817C84"/>
    <w:rsid w:val="0082204A"/>
    <w:rsid w:val="00823BC7"/>
    <w:rsid w:val="008326F6"/>
    <w:rsid w:val="0083547B"/>
    <w:rsid w:val="00837C71"/>
    <w:rsid w:val="00840467"/>
    <w:rsid w:val="008412FF"/>
    <w:rsid w:val="008420B8"/>
    <w:rsid w:val="0084361C"/>
    <w:rsid w:val="00844234"/>
    <w:rsid w:val="00844FE5"/>
    <w:rsid w:val="0085061E"/>
    <w:rsid w:val="00850640"/>
    <w:rsid w:val="008533B7"/>
    <w:rsid w:val="00853DA0"/>
    <w:rsid w:val="008579A1"/>
    <w:rsid w:val="00864355"/>
    <w:rsid w:val="00864F88"/>
    <w:rsid w:val="008651D4"/>
    <w:rsid w:val="008760FF"/>
    <w:rsid w:val="008772D0"/>
    <w:rsid w:val="00887E43"/>
    <w:rsid w:val="00891552"/>
    <w:rsid w:val="00892F80"/>
    <w:rsid w:val="008A08A0"/>
    <w:rsid w:val="008A4C83"/>
    <w:rsid w:val="008A4F40"/>
    <w:rsid w:val="008A5209"/>
    <w:rsid w:val="008A583E"/>
    <w:rsid w:val="008A65AD"/>
    <w:rsid w:val="008A6E34"/>
    <w:rsid w:val="008A70B0"/>
    <w:rsid w:val="008A734C"/>
    <w:rsid w:val="008B4B2B"/>
    <w:rsid w:val="008B7591"/>
    <w:rsid w:val="008C0D71"/>
    <w:rsid w:val="008C6A02"/>
    <w:rsid w:val="008C7D23"/>
    <w:rsid w:val="008D06FF"/>
    <w:rsid w:val="008D3986"/>
    <w:rsid w:val="008D39BE"/>
    <w:rsid w:val="008E2F78"/>
    <w:rsid w:val="008E5B9E"/>
    <w:rsid w:val="008F0DA6"/>
    <w:rsid w:val="008F4C36"/>
    <w:rsid w:val="008F662E"/>
    <w:rsid w:val="008F6A13"/>
    <w:rsid w:val="009059FB"/>
    <w:rsid w:val="009110E8"/>
    <w:rsid w:val="009142E3"/>
    <w:rsid w:val="00920889"/>
    <w:rsid w:val="009228EE"/>
    <w:rsid w:val="00923562"/>
    <w:rsid w:val="00923651"/>
    <w:rsid w:val="00926479"/>
    <w:rsid w:val="00926A0C"/>
    <w:rsid w:val="00935B54"/>
    <w:rsid w:val="00936B75"/>
    <w:rsid w:val="00941C01"/>
    <w:rsid w:val="00942485"/>
    <w:rsid w:val="0094311C"/>
    <w:rsid w:val="00944963"/>
    <w:rsid w:val="00946530"/>
    <w:rsid w:val="00954505"/>
    <w:rsid w:val="00957059"/>
    <w:rsid w:val="009570AD"/>
    <w:rsid w:val="00957448"/>
    <w:rsid w:val="009612CB"/>
    <w:rsid w:val="009622F6"/>
    <w:rsid w:val="00965650"/>
    <w:rsid w:val="00966F63"/>
    <w:rsid w:val="0097318C"/>
    <w:rsid w:val="009735FA"/>
    <w:rsid w:val="00976A14"/>
    <w:rsid w:val="00980163"/>
    <w:rsid w:val="009919AC"/>
    <w:rsid w:val="009A06E1"/>
    <w:rsid w:val="009A1332"/>
    <w:rsid w:val="009A557C"/>
    <w:rsid w:val="009B06C8"/>
    <w:rsid w:val="009C225D"/>
    <w:rsid w:val="009D4AB9"/>
    <w:rsid w:val="009D688C"/>
    <w:rsid w:val="009D7FC1"/>
    <w:rsid w:val="009E024C"/>
    <w:rsid w:val="00A01B39"/>
    <w:rsid w:val="00A069F4"/>
    <w:rsid w:val="00A1101F"/>
    <w:rsid w:val="00A15245"/>
    <w:rsid w:val="00A15D2B"/>
    <w:rsid w:val="00A20D65"/>
    <w:rsid w:val="00A26F7D"/>
    <w:rsid w:val="00A31ED5"/>
    <w:rsid w:val="00A3786F"/>
    <w:rsid w:val="00A43B2E"/>
    <w:rsid w:val="00A43E39"/>
    <w:rsid w:val="00A53EB8"/>
    <w:rsid w:val="00A5435F"/>
    <w:rsid w:val="00A56A27"/>
    <w:rsid w:val="00A60816"/>
    <w:rsid w:val="00A6173C"/>
    <w:rsid w:val="00A648DB"/>
    <w:rsid w:val="00A66980"/>
    <w:rsid w:val="00A77A84"/>
    <w:rsid w:val="00A86370"/>
    <w:rsid w:val="00A96571"/>
    <w:rsid w:val="00AA1184"/>
    <w:rsid w:val="00AA3E79"/>
    <w:rsid w:val="00AB0518"/>
    <w:rsid w:val="00AC3CC3"/>
    <w:rsid w:val="00AC4FD4"/>
    <w:rsid w:val="00AC57FB"/>
    <w:rsid w:val="00AC66DF"/>
    <w:rsid w:val="00AD2716"/>
    <w:rsid w:val="00AD3EAB"/>
    <w:rsid w:val="00AD7660"/>
    <w:rsid w:val="00AE659F"/>
    <w:rsid w:val="00AF0A7C"/>
    <w:rsid w:val="00AF1EC5"/>
    <w:rsid w:val="00AF51A8"/>
    <w:rsid w:val="00AF68B9"/>
    <w:rsid w:val="00AF79C7"/>
    <w:rsid w:val="00B0460C"/>
    <w:rsid w:val="00B110D5"/>
    <w:rsid w:val="00B14589"/>
    <w:rsid w:val="00B2130E"/>
    <w:rsid w:val="00B23E15"/>
    <w:rsid w:val="00B37EB1"/>
    <w:rsid w:val="00B40722"/>
    <w:rsid w:val="00B411BA"/>
    <w:rsid w:val="00B441C7"/>
    <w:rsid w:val="00B578D7"/>
    <w:rsid w:val="00B63AA7"/>
    <w:rsid w:val="00B664EF"/>
    <w:rsid w:val="00B70491"/>
    <w:rsid w:val="00B7102A"/>
    <w:rsid w:val="00B71A66"/>
    <w:rsid w:val="00B73990"/>
    <w:rsid w:val="00B74ED6"/>
    <w:rsid w:val="00B75115"/>
    <w:rsid w:val="00B80B6F"/>
    <w:rsid w:val="00B85459"/>
    <w:rsid w:val="00B933E5"/>
    <w:rsid w:val="00B93A30"/>
    <w:rsid w:val="00BA0F62"/>
    <w:rsid w:val="00BA567D"/>
    <w:rsid w:val="00BA5820"/>
    <w:rsid w:val="00BB3A14"/>
    <w:rsid w:val="00BC30BB"/>
    <w:rsid w:val="00BC48B3"/>
    <w:rsid w:val="00BC6044"/>
    <w:rsid w:val="00BD1688"/>
    <w:rsid w:val="00BD1ED3"/>
    <w:rsid w:val="00BE02E6"/>
    <w:rsid w:val="00BE2A12"/>
    <w:rsid w:val="00BE393C"/>
    <w:rsid w:val="00BE3D62"/>
    <w:rsid w:val="00BE5644"/>
    <w:rsid w:val="00BF22AC"/>
    <w:rsid w:val="00C013AE"/>
    <w:rsid w:val="00C0332E"/>
    <w:rsid w:val="00C04E4B"/>
    <w:rsid w:val="00C0725F"/>
    <w:rsid w:val="00C07FD9"/>
    <w:rsid w:val="00C110F5"/>
    <w:rsid w:val="00C16225"/>
    <w:rsid w:val="00C229C2"/>
    <w:rsid w:val="00C355C3"/>
    <w:rsid w:val="00C45D19"/>
    <w:rsid w:val="00C45D55"/>
    <w:rsid w:val="00C518A3"/>
    <w:rsid w:val="00C55847"/>
    <w:rsid w:val="00C56E81"/>
    <w:rsid w:val="00C57808"/>
    <w:rsid w:val="00C60A8B"/>
    <w:rsid w:val="00C6268B"/>
    <w:rsid w:val="00C65969"/>
    <w:rsid w:val="00C703E7"/>
    <w:rsid w:val="00C764A3"/>
    <w:rsid w:val="00C80CA1"/>
    <w:rsid w:val="00C83BE8"/>
    <w:rsid w:val="00C84B96"/>
    <w:rsid w:val="00C906C1"/>
    <w:rsid w:val="00C91168"/>
    <w:rsid w:val="00C94F2B"/>
    <w:rsid w:val="00CA107C"/>
    <w:rsid w:val="00CA17F0"/>
    <w:rsid w:val="00CA4ED9"/>
    <w:rsid w:val="00CA5772"/>
    <w:rsid w:val="00CA5AC6"/>
    <w:rsid w:val="00CB07A7"/>
    <w:rsid w:val="00CB2286"/>
    <w:rsid w:val="00CC27B4"/>
    <w:rsid w:val="00CC3D5A"/>
    <w:rsid w:val="00CC5103"/>
    <w:rsid w:val="00CC68D6"/>
    <w:rsid w:val="00CC784D"/>
    <w:rsid w:val="00CD4788"/>
    <w:rsid w:val="00CD4969"/>
    <w:rsid w:val="00CD5440"/>
    <w:rsid w:val="00CF4EB6"/>
    <w:rsid w:val="00CF52F8"/>
    <w:rsid w:val="00CF6242"/>
    <w:rsid w:val="00D02959"/>
    <w:rsid w:val="00D02C1F"/>
    <w:rsid w:val="00D0518F"/>
    <w:rsid w:val="00D061F1"/>
    <w:rsid w:val="00D11045"/>
    <w:rsid w:val="00D12983"/>
    <w:rsid w:val="00D15839"/>
    <w:rsid w:val="00D16B69"/>
    <w:rsid w:val="00D16C98"/>
    <w:rsid w:val="00D17EB5"/>
    <w:rsid w:val="00D2414A"/>
    <w:rsid w:val="00D25884"/>
    <w:rsid w:val="00D25C3E"/>
    <w:rsid w:val="00D30D85"/>
    <w:rsid w:val="00D3520E"/>
    <w:rsid w:val="00D36D04"/>
    <w:rsid w:val="00D3718E"/>
    <w:rsid w:val="00D50172"/>
    <w:rsid w:val="00D5519A"/>
    <w:rsid w:val="00D62D5A"/>
    <w:rsid w:val="00D6675E"/>
    <w:rsid w:val="00D67D72"/>
    <w:rsid w:val="00D710A2"/>
    <w:rsid w:val="00D74828"/>
    <w:rsid w:val="00D80130"/>
    <w:rsid w:val="00D80578"/>
    <w:rsid w:val="00D81AC1"/>
    <w:rsid w:val="00D83C72"/>
    <w:rsid w:val="00D86A96"/>
    <w:rsid w:val="00D86D17"/>
    <w:rsid w:val="00D87E98"/>
    <w:rsid w:val="00D951FC"/>
    <w:rsid w:val="00DA414F"/>
    <w:rsid w:val="00DA4161"/>
    <w:rsid w:val="00DA5BDA"/>
    <w:rsid w:val="00DA75F3"/>
    <w:rsid w:val="00DB2BBD"/>
    <w:rsid w:val="00DB5809"/>
    <w:rsid w:val="00DB5FFA"/>
    <w:rsid w:val="00DC037E"/>
    <w:rsid w:val="00DC3574"/>
    <w:rsid w:val="00DC6D90"/>
    <w:rsid w:val="00DD754B"/>
    <w:rsid w:val="00DE30B0"/>
    <w:rsid w:val="00DE5FB3"/>
    <w:rsid w:val="00DF1F80"/>
    <w:rsid w:val="00DF2209"/>
    <w:rsid w:val="00DF237F"/>
    <w:rsid w:val="00DF4D21"/>
    <w:rsid w:val="00E00032"/>
    <w:rsid w:val="00E01D0D"/>
    <w:rsid w:val="00E029A0"/>
    <w:rsid w:val="00E05CC3"/>
    <w:rsid w:val="00E11DD7"/>
    <w:rsid w:val="00E21437"/>
    <w:rsid w:val="00E333F6"/>
    <w:rsid w:val="00E34B4C"/>
    <w:rsid w:val="00E409D8"/>
    <w:rsid w:val="00E450A6"/>
    <w:rsid w:val="00E46453"/>
    <w:rsid w:val="00E543D3"/>
    <w:rsid w:val="00E604CE"/>
    <w:rsid w:val="00E65059"/>
    <w:rsid w:val="00E660E3"/>
    <w:rsid w:val="00E66A17"/>
    <w:rsid w:val="00E6718F"/>
    <w:rsid w:val="00E700ED"/>
    <w:rsid w:val="00E73B3A"/>
    <w:rsid w:val="00E73EB8"/>
    <w:rsid w:val="00E75F30"/>
    <w:rsid w:val="00E760D1"/>
    <w:rsid w:val="00E76388"/>
    <w:rsid w:val="00E77AC1"/>
    <w:rsid w:val="00E77D05"/>
    <w:rsid w:val="00E82811"/>
    <w:rsid w:val="00E8289F"/>
    <w:rsid w:val="00E831FB"/>
    <w:rsid w:val="00E8387E"/>
    <w:rsid w:val="00E95631"/>
    <w:rsid w:val="00EA4592"/>
    <w:rsid w:val="00EA5E68"/>
    <w:rsid w:val="00EA7A55"/>
    <w:rsid w:val="00EB002E"/>
    <w:rsid w:val="00EB04C3"/>
    <w:rsid w:val="00EB10D3"/>
    <w:rsid w:val="00EB65ED"/>
    <w:rsid w:val="00EB7BA7"/>
    <w:rsid w:val="00EC0AF1"/>
    <w:rsid w:val="00ED098F"/>
    <w:rsid w:val="00ED3660"/>
    <w:rsid w:val="00ED3D9E"/>
    <w:rsid w:val="00ED5015"/>
    <w:rsid w:val="00ED5CBE"/>
    <w:rsid w:val="00ED5E7E"/>
    <w:rsid w:val="00ED65F9"/>
    <w:rsid w:val="00EE1C53"/>
    <w:rsid w:val="00EE3161"/>
    <w:rsid w:val="00EE5160"/>
    <w:rsid w:val="00EF060B"/>
    <w:rsid w:val="00EF0854"/>
    <w:rsid w:val="00EF1E66"/>
    <w:rsid w:val="00EF368F"/>
    <w:rsid w:val="00EF694E"/>
    <w:rsid w:val="00EF73CE"/>
    <w:rsid w:val="00F043F3"/>
    <w:rsid w:val="00F057BD"/>
    <w:rsid w:val="00F067E0"/>
    <w:rsid w:val="00F06F15"/>
    <w:rsid w:val="00F11289"/>
    <w:rsid w:val="00F13B0B"/>
    <w:rsid w:val="00F1642E"/>
    <w:rsid w:val="00F20727"/>
    <w:rsid w:val="00F36F0F"/>
    <w:rsid w:val="00F4038E"/>
    <w:rsid w:val="00F42733"/>
    <w:rsid w:val="00F42863"/>
    <w:rsid w:val="00F444FC"/>
    <w:rsid w:val="00F554BA"/>
    <w:rsid w:val="00F57D63"/>
    <w:rsid w:val="00F60187"/>
    <w:rsid w:val="00F61AFD"/>
    <w:rsid w:val="00F623A4"/>
    <w:rsid w:val="00F64914"/>
    <w:rsid w:val="00F66186"/>
    <w:rsid w:val="00F70572"/>
    <w:rsid w:val="00F752DD"/>
    <w:rsid w:val="00F8013C"/>
    <w:rsid w:val="00F848A2"/>
    <w:rsid w:val="00F862FE"/>
    <w:rsid w:val="00FA0610"/>
    <w:rsid w:val="00FA0DED"/>
    <w:rsid w:val="00FA3456"/>
    <w:rsid w:val="00FA4446"/>
    <w:rsid w:val="00FA5868"/>
    <w:rsid w:val="00FA712C"/>
    <w:rsid w:val="00FB0931"/>
    <w:rsid w:val="00FB1264"/>
    <w:rsid w:val="00FB3355"/>
    <w:rsid w:val="00FB3F82"/>
    <w:rsid w:val="00FB5C3F"/>
    <w:rsid w:val="00FC0BDB"/>
    <w:rsid w:val="00FC2BDC"/>
    <w:rsid w:val="00FC4D2E"/>
    <w:rsid w:val="00FC531F"/>
    <w:rsid w:val="00FC7596"/>
    <w:rsid w:val="00FD4748"/>
    <w:rsid w:val="00FD4B26"/>
    <w:rsid w:val="00FD5566"/>
    <w:rsid w:val="00FD7E89"/>
    <w:rsid w:val="00FF0C6D"/>
    <w:rsid w:val="00FF3048"/>
    <w:rsid w:val="00FF3194"/>
    <w:rsid w:val="01433A6E"/>
    <w:rsid w:val="060E536D"/>
    <w:rsid w:val="072B3BD8"/>
    <w:rsid w:val="09AD0E6B"/>
    <w:rsid w:val="121A4470"/>
    <w:rsid w:val="126A1914"/>
    <w:rsid w:val="1AC53C5B"/>
    <w:rsid w:val="1B5D4C6F"/>
    <w:rsid w:val="1B7B0307"/>
    <w:rsid w:val="1B80591D"/>
    <w:rsid w:val="1D92066E"/>
    <w:rsid w:val="1E8F1B85"/>
    <w:rsid w:val="21E81903"/>
    <w:rsid w:val="226B2C62"/>
    <w:rsid w:val="239206EB"/>
    <w:rsid w:val="2504734A"/>
    <w:rsid w:val="261956B3"/>
    <w:rsid w:val="269528E7"/>
    <w:rsid w:val="278B2459"/>
    <w:rsid w:val="28B9194C"/>
    <w:rsid w:val="2B136889"/>
    <w:rsid w:val="2B1A70CE"/>
    <w:rsid w:val="2D1B0B15"/>
    <w:rsid w:val="2E5424A4"/>
    <w:rsid w:val="2EE53286"/>
    <w:rsid w:val="2F486123"/>
    <w:rsid w:val="2F6641A4"/>
    <w:rsid w:val="2FC43A98"/>
    <w:rsid w:val="312D5497"/>
    <w:rsid w:val="34166316"/>
    <w:rsid w:val="35F75806"/>
    <w:rsid w:val="36EF4670"/>
    <w:rsid w:val="3D18555E"/>
    <w:rsid w:val="3E7C5F2B"/>
    <w:rsid w:val="3F6F34F4"/>
    <w:rsid w:val="415E1062"/>
    <w:rsid w:val="43F87CC9"/>
    <w:rsid w:val="45EE4809"/>
    <w:rsid w:val="46984EC4"/>
    <w:rsid w:val="473D1AC5"/>
    <w:rsid w:val="49C9711D"/>
    <w:rsid w:val="4A142A9B"/>
    <w:rsid w:val="4A215748"/>
    <w:rsid w:val="4A754947"/>
    <w:rsid w:val="4E4B5B53"/>
    <w:rsid w:val="52B92EE7"/>
    <w:rsid w:val="539B74DE"/>
    <w:rsid w:val="564255A2"/>
    <w:rsid w:val="58D06A3E"/>
    <w:rsid w:val="595F6089"/>
    <w:rsid w:val="5B452A8A"/>
    <w:rsid w:val="5C031B76"/>
    <w:rsid w:val="5D7F623B"/>
    <w:rsid w:val="60401DB2"/>
    <w:rsid w:val="61187474"/>
    <w:rsid w:val="62DE6052"/>
    <w:rsid w:val="6344336F"/>
    <w:rsid w:val="63915304"/>
    <w:rsid w:val="65AD7815"/>
    <w:rsid w:val="65E36FE9"/>
    <w:rsid w:val="6B8F7D69"/>
    <w:rsid w:val="715E167E"/>
    <w:rsid w:val="724E6B7F"/>
    <w:rsid w:val="73515C34"/>
    <w:rsid w:val="744030F2"/>
    <w:rsid w:val="763A161A"/>
    <w:rsid w:val="769504C8"/>
    <w:rsid w:val="7732180A"/>
    <w:rsid w:val="79D47355"/>
    <w:rsid w:val="7A724F9A"/>
    <w:rsid w:val="7B1F7832"/>
    <w:rsid w:val="7BFC3723"/>
    <w:rsid w:val="7D580A83"/>
    <w:rsid w:val="7F426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pPr>
    <w:rPr>
      <w:rFonts w:ascii="Times New Roman" w:hAnsi="Times New Roman" w:eastAsia="宋体" w:cstheme="minorBidi"/>
      <w:sz w:val="24"/>
      <w:szCs w:val="22"/>
      <w:lang w:val="en-US" w:eastAsia="zh-CN" w:bidi="ar-SA"/>
    </w:rPr>
  </w:style>
  <w:style w:type="paragraph" w:styleId="2">
    <w:name w:val="heading 1"/>
    <w:basedOn w:val="1"/>
    <w:next w:val="1"/>
    <w:link w:val="31"/>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2"/>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3"/>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4"/>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5"/>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6"/>
    <w:unhideWhenUsed/>
    <w:qFormat/>
    <w:uiPriority w:val="9"/>
    <w:pPr>
      <w:keepNext/>
      <w:keepLines/>
      <w:spacing w:before="20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7"/>
    <w:unhideWhenUsed/>
    <w:qFormat/>
    <w:uiPriority w:val="9"/>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8"/>
    <w:unhideWhenUsed/>
    <w:qFormat/>
    <w:uiPriority w:val="9"/>
    <w:pPr>
      <w:keepNext/>
      <w:keepLines/>
      <w:spacing w:before="20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9"/>
    <w:unhideWhenUsed/>
    <w:qFormat/>
    <w:uiPriority w:val="9"/>
    <w:pPr>
      <w:keepNext/>
      <w:keepLines/>
      <w:spacing w:before="20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toa heading"/>
    <w:basedOn w:val="1"/>
    <w:next w:val="1"/>
    <w:unhideWhenUsed/>
    <w:qFormat/>
    <w:uiPriority w:val="99"/>
    <w:pPr>
      <w:spacing w:before="120" w:after="100" w:afterAutospacing="1"/>
    </w:pPr>
    <w:rPr>
      <w:rFonts w:ascii="Arial" w:hAnsi="Arial" w:cs="Arial"/>
      <w:szCs w:val="24"/>
      <w:lang w:bidi="gu-IN"/>
    </w:rPr>
  </w:style>
  <w:style w:type="paragraph" w:styleId="13">
    <w:name w:val="annotation text"/>
    <w:basedOn w:val="1"/>
    <w:link w:val="63"/>
    <w:unhideWhenUsed/>
    <w:qFormat/>
    <w:uiPriority w:val="99"/>
  </w:style>
  <w:style w:type="paragraph" w:styleId="14">
    <w:name w:val="Body Text Indent"/>
    <w:qFormat/>
    <w:uiPriority w:val="0"/>
    <w:pPr>
      <w:tabs>
        <w:tab w:val="left" w:pos="8280"/>
      </w:tabs>
      <w:spacing w:line="360" w:lineRule="auto"/>
      <w:ind w:firstLine="210" w:firstLineChars="100"/>
    </w:pPr>
    <w:rPr>
      <w:rFonts w:ascii="Times New Roman" w:hAnsi="Times New Roman" w:eastAsia="宋体" w:cstheme="minorBidi"/>
      <w:sz w:val="24"/>
      <w:szCs w:val="22"/>
      <w:lang w:val="en-US" w:eastAsia="zh-CN" w:bidi="ar-SA"/>
    </w:rPr>
  </w:style>
  <w:style w:type="paragraph" w:styleId="15">
    <w:name w:val="endnote text"/>
    <w:basedOn w:val="1"/>
    <w:link w:val="55"/>
    <w:unhideWhenUsed/>
    <w:qFormat/>
    <w:uiPriority w:val="99"/>
    <w:pPr>
      <w:snapToGrid w:val="0"/>
    </w:pPr>
  </w:style>
  <w:style w:type="paragraph" w:styleId="16">
    <w:name w:val="Balloon Text"/>
    <w:basedOn w:val="1"/>
    <w:link w:val="58"/>
    <w:unhideWhenUsed/>
    <w:qFormat/>
    <w:uiPriority w:val="99"/>
    <w:pPr>
      <w:spacing w:line="240" w:lineRule="auto"/>
    </w:pPr>
    <w:rPr>
      <w:sz w:val="18"/>
      <w:szCs w:val="18"/>
    </w:rPr>
  </w:style>
  <w:style w:type="paragraph" w:styleId="17">
    <w:name w:val="footer"/>
    <w:basedOn w:val="1"/>
    <w:link w:val="57"/>
    <w:unhideWhenUsed/>
    <w:qFormat/>
    <w:uiPriority w:val="99"/>
    <w:pPr>
      <w:tabs>
        <w:tab w:val="center" w:pos="4153"/>
        <w:tab w:val="right" w:pos="8306"/>
      </w:tabs>
      <w:snapToGrid w:val="0"/>
      <w:spacing w:line="240" w:lineRule="auto"/>
    </w:pPr>
    <w:rPr>
      <w:sz w:val="18"/>
      <w:szCs w:val="18"/>
    </w:rPr>
  </w:style>
  <w:style w:type="paragraph" w:styleId="18">
    <w:name w:val="header"/>
    <w:basedOn w:val="1"/>
    <w:link w:val="5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Subtitle"/>
    <w:basedOn w:val="1"/>
    <w:next w:val="1"/>
    <w:link w:val="41"/>
    <w:qFormat/>
    <w:uiPriority w:val="11"/>
    <w:rPr>
      <w:rFonts w:asciiTheme="majorHAnsi" w:hAnsiTheme="majorHAnsi" w:eastAsiaTheme="majorEastAsia" w:cstheme="majorBidi"/>
      <w:i/>
      <w:iCs/>
      <w:color w:val="4F81BD" w:themeColor="accent1"/>
      <w:spacing w:val="15"/>
      <w:szCs w:val="24"/>
      <w14:textFill>
        <w14:solidFill>
          <w14:schemeClr w14:val="accent1"/>
        </w14:solidFill>
      </w14:textFill>
    </w:rPr>
  </w:style>
  <w:style w:type="paragraph" w:styleId="20">
    <w:name w:val="footnote text"/>
    <w:basedOn w:val="1"/>
    <w:link w:val="62"/>
    <w:unhideWhenUsed/>
    <w:qFormat/>
    <w:uiPriority w:val="99"/>
    <w:pPr>
      <w:snapToGrid w:val="0"/>
    </w:pPr>
    <w:rPr>
      <w:sz w:val="18"/>
      <w:szCs w:val="18"/>
    </w:rPr>
  </w:style>
  <w:style w:type="paragraph" w:styleId="21">
    <w:name w:val="Title"/>
    <w:basedOn w:val="1"/>
    <w:next w:val="1"/>
    <w:link w:val="40"/>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22">
    <w:name w:val="annotation subject"/>
    <w:basedOn w:val="13"/>
    <w:next w:val="13"/>
    <w:link w:val="64"/>
    <w:unhideWhenUsed/>
    <w:qFormat/>
    <w:uiPriority w:val="99"/>
    <w:rPr>
      <w:b/>
      <w:bCs/>
    </w:rPr>
  </w:style>
  <w:style w:type="paragraph" w:styleId="23">
    <w:name w:val="Body Text First Indent"/>
    <w:next w:val="14"/>
    <w:qFormat/>
    <w:uiPriority w:val="0"/>
    <w:pPr>
      <w:spacing w:after="120" w:line="360" w:lineRule="auto"/>
      <w:ind w:firstLine="420" w:firstLineChars="100"/>
    </w:pPr>
    <w:rPr>
      <w:rFonts w:ascii="Times New Roman" w:hAnsi="Times New Roman" w:eastAsia="宋体" w:cstheme="minorBidi"/>
      <w:sz w:val="24"/>
      <w:szCs w:val="22"/>
      <w:lang w:val="en-US" w:eastAsia="zh-CN" w:bidi="ar-SA"/>
    </w:rPr>
  </w:style>
  <w:style w:type="character" w:styleId="26">
    <w:name w:val="Strong"/>
    <w:basedOn w:val="25"/>
    <w:qFormat/>
    <w:uiPriority w:val="22"/>
    <w:rPr>
      <w:b/>
      <w:bCs/>
    </w:rPr>
  </w:style>
  <w:style w:type="character" w:styleId="27">
    <w:name w:val="endnote reference"/>
    <w:basedOn w:val="25"/>
    <w:unhideWhenUsed/>
    <w:qFormat/>
    <w:uiPriority w:val="99"/>
    <w:rPr>
      <w:vertAlign w:val="superscript"/>
    </w:rPr>
  </w:style>
  <w:style w:type="character" w:styleId="28">
    <w:name w:val="Emphasis"/>
    <w:basedOn w:val="25"/>
    <w:qFormat/>
    <w:uiPriority w:val="20"/>
    <w:rPr>
      <w:i/>
      <w:iCs/>
    </w:rPr>
  </w:style>
  <w:style w:type="character" w:styleId="29">
    <w:name w:val="annotation reference"/>
    <w:basedOn w:val="25"/>
    <w:unhideWhenUsed/>
    <w:qFormat/>
    <w:uiPriority w:val="99"/>
    <w:rPr>
      <w:sz w:val="21"/>
      <w:szCs w:val="21"/>
    </w:rPr>
  </w:style>
  <w:style w:type="character" w:styleId="30">
    <w:name w:val="footnote reference"/>
    <w:basedOn w:val="25"/>
    <w:unhideWhenUsed/>
    <w:qFormat/>
    <w:uiPriority w:val="99"/>
    <w:rPr>
      <w:vertAlign w:val="superscript"/>
    </w:rPr>
  </w:style>
  <w:style w:type="character" w:customStyle="1" w:styleId="31">
    <w:name w:val="标题 1 Char"/>
    <w:basedOn w:val="2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2">
    <w:name w:val="标题 2 Char"/>
    <w:basedOn w:val="25"/>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3">
    <w:name w:val="标题 3 Char"/>
    <w:basedOn w:val="25"/>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4">
    <w:name w:val="标题 4 Char"/>
    <w:basedOn w:val="25"/>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5">
    <w:name w:val="标题 5 Char"/>
    <w:basedOn w:val="25"/>
    <w:link w:val="6"/>
    <w:semiHidden/>
    <w:qFormat/>
    <w:uiPriority w:val="9"/>
    <w:rPr>
      <w:rFonts w:asciiTheme="majorHAnsi" w:hAnsiTheme="majorHAnsi" w:eastAsiaTheme="majorEastAsia" w:cstheme="majorBidi"/>
      <w:color w:val="254061" w:themeColor="accent1" w:themeShade="80"/>
    </w:rPr>
  </w:style>
  <w:style w:type="character" w:customStyle="1" w:styleId="36">
    <w:name w:val="标题 6 Char"/>
    <w:basedOn w:val="25"/>
    <w:link w:val="7"/>
    <w:semiHidden/>
    <w:qFormat/>
    <w:uiPriority w:val="9"/>
    <w:rPr>
      <w:rFonts w:asciiTheme="majorHAnsi" w:hAnsiTheme="majorHAnsi" w:eastAsiaTheme="majorEastAsia" w:cstheme="majorBidi"/>
      <w:i/>
      <w:iCs/>
      <w:color w:val="254061" w:themeColor="accent1" w:themeShade="80"/>
    </w:rPr>
  </w:style>
  <w:style w:type="character" w:customStyle="1" w:styleId="37">
    <w:name w:val="标题 7 Char"/>
    <w:basedOn w:val="25"/>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8">
    <w:name w:val="标题 8 Char"/>
    <w:basedOn w:val="25"/>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9">
    <w:name w:val="标题 9 Char"/>
    <w:basedOn w:val="25"/>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40">
    <w:name w:val="标题 Char"/>
    <w:basedOn w:val="25"/>
    <w:link w:val="2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41">
    <w:name w:val="副标题 Char"/>
    <w:basedOn w:val="25"/>
    <w:link w:val="1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customStyle="1" w:styleId="42">
    <w:name w:val="无间隔1"/>
    <w:link w:val="54"/>
    <w:qFormat/>
    <w:uiPriority w:val="1"/>
    <w:rPr>
      <w:rFonts w:asciiTheme="minorHAnsi" w:hAnsiTheme="minorHAnsi" w:eastAsiaTheme="minorEastAsia" w:cstheme="minorBidi"/>
      <w:sz w:val="22"/>
      <w:szCs w:val="22"/>
      <w:lang w:val="en-US" w:eastAsia="zh-CN" w:bidi="ar-SA"/>
    </w:rPr>
  </w:style>
  <w:style w:type="paragraph" w:customStyle="1" w:styleId="43">
    <w:name w:val="列出段落1"/>
    <w:basedOn w:val="1"/>
    <w:qFormat/>
    <w:uiPriority w:val="34"/>
    <w:pPr>
      <w:ind w:firstLine="0" w:firstLineChars="0"/>
      <w:contextualSpacing/>
    </w:pPr>
  </w:style>
  <w:style w:type="paragraph" w:customStyle="1" w:styleId="44">
    <w:name w:val="引用1"/>
    <w:basedOn w:val="1"/>
    <w:next w:val="1"/>
    <w:link w:val="45"/>
    <w:qFormat/>
    <w:uiPriority w:val="29"/>
    <w:rPr>
      <w:i/>
      <w:iCs/>
      <w:color w:val="000000" w:themeColor="text1"/>
      <w14:textFill>
        <w14:solidFill>
          <w14:schemeClr w14:val="tx1"/>
        </w14:solidFill>
      </w14:textFill>
    </w:rPr>
  </w:style>
  <w:style w:type="character" w:customStyle="1" w:styleId="45">
    <w:name w:val="引用 Char"/>
    <w:basedOn w:val="25"/>
    <w:link w:val="44"/>
    <w:qFormat/>
    <w:uiPriority w:val="29"/>
    <w:rPr>
      <w:i/>
      <w:iCs/>
      <w:color w:val="000000" w:themeColor="text1"/>
      <w14:textFill>
        <w14:solidFill>
          <w14:schemeClr w14:val="tx1"/>
        </w14:solidFill>
      </w14:textFill>
    </w:rPr>
  </w:style>
  <w:style w:type="paragraph" w:customStyle="1" w:styleId="46">
    <w:name w:val="明显引用1"/>
    <w:basedOn w:val="1"/>
    <w:next w:val="1"/>
    <w:link w:val="4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7">
    <w:name w:val="明显引用 Char"/>
    <w:basedOn w:val="25"/>
    <w:link w:val="46"/>
    <w:qFormat/>
    <w:uiPriority w:val="30"/>
    <w:rPr>
      <w:b/>
      <w:bCs/>
      <w:i/>
      <w:iCs/>
      <w:color w:val="4F81BD" w:themeColor="accent1"/>
      <w14:textFill>
        <w14:solidFill>
          <w14:schemeClr w14:val="accent1"/>
        </w14:solidFill>
      </w14:textFill>
    </w:rPr>
  </w:style>
  <w:style w:type="character" w:customStyle="1" w:styleId="48">
    <w:name w:val="不明显强调1"/>
    <w:basedOn w:val="25"/>
    <w:qFormat/>
    <w:uiPriority w:val="19"/>
    <w:rPr>
      <w:i/>
      <w:iCs/>
      <w:color w:val="808080" w:themeColor="text1" w:themeTint="80"/>
      <w14:textFill>
        <w14:solidFill>
          <w14:schemeClr w14:val="tx1">
            <w14:lumMod w14:val="50000"/>
            <w14:lumOff w14:val="50000"/>
          </w14:schemeClr>
        </w14:solidFill>
      </w14:textFill>
    </w:rPr>
  </w:style>
  <w:style w:type="character" w:customStyle="1" w:styleId="49">
    <w:name w:val="明显强调1"/>
    <w:basedOn w:val="25"/>
    <w:qFormat/>
    <w:uiPriority w:val="21"/>
    <w:rPr>
      <w:b/>
      <w:bCs/>
      <w:i/>
      <w:iCs/>
      <w:color w:val="4F81BD" w:themeColor="accent1"/>
      <w14:textFill>
        <w14:solidFill>
          <w14:schemeClr w14:val="accent1"/>
        </w14:solidFill>
      </w14:textFill>
    </w:rPr>
  </w:style>
  <w:style w:type="character" w:customStyle="1" w:styleId="50">
    <w:name w:val="不明显参考1"/>
    <w:basedOn w:val="25"/>
    <w:qFormat/>
    <w:uiPriority w:val="31"/>
    <w:rPr>
      <w:smallCaps/>
      <w:color w:val="C0504D" w:themeColor="accent2"/>
      <w:u w:val="single"/>
      <w14:textFill>
        <w14:solidFill>
          <w14:schemeClr w14:val="accent2"/>
        </w14:solidFill>
      </w14:textFill>
    </w:rPr>
  </w:style>
  <w:style w:type="character" w:customStyle="1" w:styleId="51">
    <w:name w:val="明显参考1"/>
    <w:basedOn w:val="25"/>
    <w:qFormat/>
    <w:uiPriority w:val="32"/>
    <w:rPr>
      <w:b/>
      <w:bCs/>
      <w:smallCaps/>
      <w:color w:val="C0504D" w:themeColor="accent2"/>
      <w:spacing w:val="5"/>
      <w:u w:val="single"/>
      <w14:textFill>
        <w14:solidFill>
          <w14:schemeClr w14:val="accent2"/>
        </w14:solidFill>
      </w14:textFill>
    </w:rPr>
  </w:style>
  <w:style w:type="character" w:customStyle="1" w:styleId="52">
    <w:name w:val="书籍标题1"/>
    <w:basedOn w:val="25"/>
    <w:qFormat/>
    <w:uiPriority w:val="33"/>
    <w:rPr>
      <w:b/>
      <w:bCs/>
      <w:smallCaps/>
      <w:spacing w:val="5"/>
    </w:rPr>
  </w:style>
  <w:style w:type="paragraph" w:customStyle="1" w:styleId="53">
    <w:name w:val="TOC 标题1"/>
    <w:basedOn w:val="2"/>
    <w:next w:val="1"/>
    <w:unhideWhenUsed/>
    <w:qFormat/>
    <w:uiPriority w:val="39"/>
    <w:pPr>
      <w:outlineLvl w:val="9"/>
    </w:pPr>
  </w:style>
  <w:style w:type="character" w:customStyle="1" w:styleId="54">
    <w:name w:val="无间隔 Char"/>
    <w:basedOn w:val="25"/>
    <w:link w:val="42"/>
    <w:qFormat/>
    <w:uiPriority w:val="1"/>
  </w:style>
  <w:style w:type="character" w:customStyle="1" w:styleId="55">
    <w:name w:val="尾注文本 Char"/>
    <w:basedOn w:val="25"/>
    <w:link w:val="15"/>
    <w:semiHidden/>
    <w:qFormat/>
    <w:uiPriority w:val="99"/>
  </w:style>
  <w:style w:type="character" w:customStyle="1" w:styleId="56">
    <w:name w:val="页眉 Char"/>
    <w:basedOn w:val="25"/>
    <w:link w:val="18"/>
    <w:qFormat/>
    <w:uiPriority w:val="99"/>
    <w:rPr>
      <w:sz w:val="18"/>
      <w:szCs w:val="18"/>
    </w:rPr>
  </w:style>
  <w:style w:type="character" w:customStyle="1" w:styleId="57">
    <w:name w:val="页脚 Char"/>
    <w:basedOn w:val="25"/>
    <w:link w:val="17"/>
    <w:qFormat/>
    <w:uiPriority w:val="99"/>
    <w:rPr>
      <w:sz w:val="18"/>
      <w:szCs w:val="18"/>
    </w:rPr>
  </w:style>
  <w:style w:type="character" w:customStyle="1" w:styleId="58">
    <w:name w:val="批注框文本 Char"/>
    <w:basedOn w:val="25"/>
    <w:link w:val="16"/>
    <w:semiHidden/>
    <w:qFormat/>
    <w:uiPriority w:val="99"/>
    <w:rPr>
      <w:rFonts w:ascii="Times New Roman" w:hAnsi="Times New Roman" w:eastAsia="宋体"/>
      <w:sz w:val="18"/>
      <w:szCs w:val="18"/>
    </w:rPr>
  </w:style>
  <w:style w:type="paragraph" w:customStyle="1" w:styleId="59">
    <w:name w:val="修订1"/>
    <w:hidden/>
    <w:semiHidden/>
    <w:qFormat/>
    <w:uiPriority w:val="99"/>
    <w:rPr>
      <w:rFonts w:ascii="Times New Roman" w:hAnsi="Times New Roman" w:eastAsia="宋体" w:cstheme="minorBidi"/>
      <w:sz w:val="24"/>
      <w:szCs w:val="22"/>
      <w:lang w:val="en-US" w:eastAsia="zh-CN" w:bidi="ar-SA"/>
    </w:rPr>
  </w:style>
  <w:style w:type="paragraph" w:customStyle="1" w:styleId="60">
    <w:name w:val="修订2"/>
    <w:hidden/>
    <w:unhideWhenUsed/>
    <w:qFormat/>
    <w:uiPriority w:val="99"/>
    <w:rPr>
      <w:rFonts w:ascii="Times New Roman" w:hAnsi="Times New Roman" w:eastAsia="宋体" w:cstheme="minorBidi"/>
      <w:sz w:val="24"/>
      <w:szCs w:val="22"/>
      <w:lang w:val="en-US" w:eastAsia="zh-CN" w:bidi="ar-SA"/>
    </w:rPr>
  </w:style>
  <w:style w:type="paragraph" w:customStyle="1" w:styleId="61">
    <w:name w:val="修订3"/>
    <w:hidden/>
    <w:semiHidden/>
    <w:qFormat/>
    <w:uiPriority w:val="99"/>
    <w:rPr>
      <w:rFonts w:ascii="Times New Roman" w:hAnsi="Times New Roman" w:eastAsia="宋体" w:cstheme="minorBidi"/>
      <w:sz w:val="24"/>
      <w:szCs w:val="22"/>
      <w:lang w:val="en-US" w:eastAsia="zh-CN" w:bidi="ar-SA"/>
    </w:rPr>
  </w:style>
  <w:style w:type="character" w:customStyle="1" w:styleId="62">
    <w:name w:val="脚注文本 Char"/>
    <w:basedOn w:val="25"/>
    <w:link w:val="20"/>
    <w:qFormat/>
    <w:uiPriority w:val="99"/>
    <w:rPr>
      <w:rFonts w:ascii="Times New Roman" w:hAnsi="Times New Roman" w:eastAsia="宋体"/>
      <w:sz w:val="18"/>
      <w:szCs w:val="18"/>
    </w:rPr>
  </w:style>
  <w:style w:type="character" w:customStyle="1" w:styleId="63">
    <w:name w:val="批注文字 Char"/>
    <w:basedOn w:val="25"/>
    <w:link w:val="13"/>
    <w:qFormat/>
    <w:uiPriority w:val="99"/>
    <w:rPr>
      <w:rFonts w:cstheme="minorBidi"/>
      <w:sz w:val="24"/>
      <w:szCs w:val="22"/>
    </w:rPr>
  </w:style>
  <w:style w:type="character" w:customStyle="1" w:styleId="64">
    <w:name w:val="批注主题 Char"/>
    <w:basedOn w:val="63"/>
    <w:link w:val="22"/>
    <w:semiHidden/>
    <w:qFormat/>
    <w:uiPriority w:val="99"/>
    <w:rPr>
      <w:rFonts w:cstheme="minorBidi"/>
      <w:b/>
      <w:bCs/>
      <w:sz w:val="24"/>
      <w:szCs w:val="22"/>
    </w:rPr>
  </w:style>
  <w:style w:type="paragraph" w:customStyle="1" w:styleId="65">
    <w:name w:val="修订4"/>
    <w:hidden/>
    <w:unhideWhenUsed/>
    <w:qFormat/>
    <w:uiPriority w:val="99"/>
    <w:rPr>
      <w:rFonts w:ascii="Times New Roman" w:hAnsi="Times New Roman" w:eastAsia="宋体" w:cstheme="minorBidi"/>
      <w:sz w:val="24"/>
      <w:szCs w:val="22"/>
      <w:lang w:val="en-US" w:eastAsia="zh-CN" w:bidi="ar-SA"/>
    </w:rPr>
  </w:style>
  <w:style w:type="paragraph" w:customStyle="1" w:styleId="66">
    <w:name w:val="修订5"/>
    <w:hidden/>
    <w:unhideWhenUsed/>
    <w:qFormat/>
    <w:uiPriority w:val="99"/>
    <w:rPr>
      <w:rFonts w:ascii="Times New Roman" w:hAnsi="Times New Roman" w:eastAsia="宋体" w:cstheme="minorBidi"/>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C973E0-9C87-4298-924E-68A7207FD6B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2640</Words>
  <Characters>2954</Characters>
  <Lines>48</Lines>
  <Paragraphs>13</Paragraphs>
  <TotalTime>1</TotalTime>
  <ScaleCrop>false</ScaleCrop>
  <LinksUpToDate>false</LinksUpToDate>
  <CharactersWithSpaces>2958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2022-07-28T02:51:00Z</dcterms:created>
  <dc:creator>admin</dc:creator>
  <cp:lastModifiedBy>秦燕</cp:lastModifiedBy>
  <dcterms:modified xsi:type="dcterms:W3CDTF">2023-04-24T01:07:52Z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B140628ECFC2478A8889474D80F51FE4</vt:lpwstr>
  </property>
</Properties>
</file>