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beforeLines="30" w:line="60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名泰花园规划设计方案的公示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中山市名泰房地产开发有限公司向我局申请变更名泰花园（地址：中山市三乡镇南龙村“鲤鱼咀”）规划设计方案。现根据相关法律、法规予以公示。</w:t>
      </w: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该项目的规划公示牌设在名泰花园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主入口处位置，公示期为本公示刊登之日起20个工作日。公示期内，该项目的相关利害关系人可以携带身份证、房地产权属证书等资料到中山市自然资源局第四分局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中山市坦洲镇坦神北路103号</w:t>
      </w:r>
      <w:r>
        <w:rPr>
          <w:rFonts w:hint="eastAsia" w:ascii="仿宋_GB2312" w:hAnsi="仿宋_GB2312" w:cs="仿宋_GB231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Cs w:val="32"/>
        </w:rPr>
        <w:t>查询相关情况，提交陈述、申辩意见书或者听证申请书。逾期未进行陈述、申辩或听证申请的，视为放弃上述权利。</w:t>
      </w:r>
    </w:p>
    <w:p>
      <w:pPr>
        <w:spacing w:line="64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联系电话：86638541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right="1264" w:rightChars="400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</w:t>
      </w:r>
    </w:p>
    <w:p>
      <w:pPr>
        <w:spacing w:line="640" w:lineRule="exact"/>
        <w:ind w:right="1264" w:rightChars="40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中山市自然资源局第四分局</w:t>
      </w:r>
    </w:p>
    <w:p>
      <w:pPr>
        <w:spacing w:line="640" w:lineRule="exact"/>
        <w:ind w:right="1264" w:rightChars="400"/>
        <w:jc w:val="center"/>
      </w:pPr>
      <w:r>
        <w:rPr>
          <w:rFonts w:hint="eastAsia" w:ascii="仿宋_GB2312" w:hAnsi="仿宋_GB2312" w:cs="仿宋_GB2312"/>
          <w:szCs w:val="32"/>
        </w:rPr>
        <w:t xml:space="preserve">   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14</w:t>
      </w:r>
      <w:r>
        <w:rPr>
          <w:rFonts w:hint="eastAsia" w:ascii="仿宋_GB2312" w:hAnsi="仿宋_GB2312" w:cs="仿宋_GB231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ascii="宋体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1F6B"/>
    <w:rsid w:val="1C0E4A83"/>
    <w:rsid w:val="52F07EF0"/>
    <w:rsid w:val="534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line="413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2023-03-14T07:30:00Z</dcterms:created>
  <dc:creator>袁耀德</dc:creator>
  <cp:lastModifiedBy>黄伟健</cp:lastModifiedBy>
  <dcterms:modified xsi:type="dcterms:W3CDTF">2023-04-14T03:48:53Z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ED7054A34B09446DB4E6A83B8C93DE54</vt:lpwstr>
  </property>
</Properties>
</file>