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关于变更粤（2023）中山市不动产权第0063799号用地规划条件公示的通告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73040" cy="3543935"/>
            <wp:effectExtent l="0" t="0" r="3810" b="1841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为粤（2023）中山市不动产权第0063799号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贴边东路四巷80号，用地面积为223.70平方米，土地使用权人为梁润荣，现土地使用权人申请变更该宗用地规划条件。我局已受理其申请，根据公开、公平、公正原则，现对该宗地规划条件变更进行公示，公示如下：</w:t>
      </w:r>
      <w:bookmarkStart w:id="0" w:name="_GoBack"/>
      <w:bookmarkEnd w:id="0"/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农林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用地，在土规中为建设用地，位于《横栏镇贴边村中心区控制性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详细规划》中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部分在C-3-2地块上规划为二类居住用地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，部分在C-3-1地块上规划为公共绿地。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7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3F5B1BC0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2023-04-07T07:47:35Z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783E141245BB4C40B0663BD3584BF01E</vt:lpwstr>
  </property>
</Properties>
</file>