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关于许有根</w:t>
      </w:r>
      <w:r>
        <w:rPr>
          <w:rFonts w:hint="eastAsia" w:ascii="黑体" w:hAnsi="微软雅黑" w:eastAsia="黑体"/>
          <w:color w:val="333333"/>
          <w:sz w:val="44"/>
          <w:szCs w:val="44"/>
          <w:lang w:val="en-US" w:eastAsia="zh-CN"/>
        </w:rPr>
        <w:t>名下</w:t>
      </w:r>
      <w:r>
        <w:rPr>
          <w:rFonts w:hint="eastAsia" w:ascii="黑体" w:hAnsi="微软雅黑" w:eastAsia="黑体"/>
          <w:color w:val="333333"/>
          <w:sz w:val="44"/>
          <w:szCs w:val="44"/>
        </w:rPr>
        <w:t>粤（2023）中山市不动产权第0014840号、粤（2022）中山市不动产权第0327532号</w:t>
      </w:r>
      <w:r>
        <w:rPr>
          <w:rFonts w:hint="eastAsia" w:ascii="黑体" w:hAnsi="微软雅黑" w:eastAsia="黑体"/>
          <w:color w:val="333333"/>
          <w:sz w:val="44"/>
          <w:szCs w:val="44"/>
          <w:lang w:val="en-US" w:eastAsia="zh-CN"/>
        </w:rPr>
        <w:t>用地合并</w:t>
      </w:r>
      <w:r>
        <w:rPr>
          <w:rFonts w:hint="eastAsia" w:ascii="黑体" w:hAnsi="微软雅黑" w:eastAsia="黑体"/>
          <w:color w:val="333333"/>
          <w:sz w:val="44"/>
          <w:szCs w:val="44"/>
        </w:rPr>
        <w:t>的通告</w:t>
      </w: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  <w:lang w:eastAsia="zh-CN"/>
        </w:rPr>
      </w:pPr>
      <w:r>
        <w:rPr>
          <w:rFonts w:hint="eastAsia" w:ascii="微软雅黑" w:hAnsi="微软雅黑" w:eastAsia="微软雅黑"/>
          <w:color w:val="333333"/>
          <w:sz w:val="16"/>
          <w:lang w:eastAsia="zh-CN"/>
        </w:rPr>
        <w:drawing>
          <wp:inline distT="0" distB="0" distL="114300" distR="114300">
            <wp:extent cx="3139440" cy="2720340"/>
            <wp:effectExtent l="0" t="0" r="0" b="7620"/>
            <wp:docPr id="1" name="图片 1" descr="1679368774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3687747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不动产权证号为粤（2023）中山市不动产权第0014840号、粤（2022）中山市不动产权第0327532号用地位于中山市东凤镇兴华中路32号，用地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面积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分别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202平方米以及193.8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平方米，土地来源（用途）为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国有出让商业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，土地使用权人为许有根，现土地使用权人申请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合并该两宗用地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我局已受理其申请，根据公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两宗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地无约定指标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两宗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可建设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为非建设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《东凤镇小沥片区控制性详细规划北片调整（2016）》的A-12-1地块，规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二类居住用地兼容商业用地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其中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商业设施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的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≤4.0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≥25%，建筑限高≤50米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两宗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情况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以及《中山市横栏镇茂辉工业区（二期）控制性详细规划调整》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合并后用地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商业设施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≥25%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≤50米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蒋小姐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22116587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B73"/>
    <w:rsid w:val="01B635D4"/>
    <w:rsid w:val="03BC3071"/>
    <w:rsid w:val="04651F21"/>
    <w:rsid w:val="066E0BE5"/>
    <w:rsid w:val="09A75ACE"/>
    <w:rsid w:val="10563548"/>
    <w:rsid w:val="13DA6168"/>
    <w:rsid w:val="175B7522"/>
    <w:rsid w:val="23E524B5"/>
    <w:rsid w:val="241746BB"/>
    <w:rsid w:val="2724513A"/>
    <w:rsid w:val="2C894B73"/>
    <w:rsid w:val="33B07877"/>
    <w:rsid w:val="33D45D21"/>
    <w:rsid w:val="346F1919"/>
    <w:rsid w:val="357E613E"/>
    <w:rsid w:val="35E25855"/>
    <w:rsid w:val="369E0AA4"/>
    <w:rsid w:val="36C11F11"/>
    <w:rsid w:val="38640154"/>
    <w:rsid w:val="38F13695"/>
    <w:rsid w:val="3DDD43ED"/>
    <w:rsid w:val="427564A5"/>
    <w:rsid w:val="42D5047B"/>
    <w:rsid w:val="4A174DEF"/>
    <w:rsid w:val="4BC76053"/>
    <w:rsid w:val="4BD136D6"/>
    <w:rsid w:val="4D75760B"/>
    <w:rsid w:val="4F8532A0"/>
    <w:rsid w:val="5098335B"/>
    <w:rsid w:val="53EC3BFD"/>
    <w:rsid w:val="54F37EBB"/>
    <w:rsid w:val="56F63612"/>
    <w:rsid w:val="5C8A490B"/>
    <w:rsid w:val="5D0D27A0"/>
    <w:rsid w:val="5D876095"/>
    <w:rsid w:val="64B37157"/>
    <w:rsid w:val="7115448B"/>
    <w:rsid w:val="744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2933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2022-11-23T03:09:00Z</dcterms:created>
  <dc:creator>龚凯恩</dc:creator>
  <cp:lastModifiedBy>蒋雯</cp:lastModifiedBy>
  <cp:lastPrinted>2022-12-29T01:07:00Z</cp:lastPrinted>
  <dcterms:modified xsi:type="dcterms:W3CDTF">2023-03-27T01:53:25Z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A9C584FE6CC74BCCBD3EEF22803104DB</vt:lpwstr>
  </property>
</Properties>
</file>