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关于变更中府国用（2008）第易170170号用地规划条件公示的通告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4562475" cy="3124200"/>
            <wp:effectExtent l="0" t="0" r="9525" b="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土地证号为中府国用（2008）第易170170号用地位于中山市横栏镇横东3村2队，用地面积为146.7平方米，土地使用权人为</w:t>
      </w:r>
      <w:bookmarkStart w:id="0" w:name="_GoBack"/>
      <w:r>
        <w:rPr>
          <w:rFonts w:hint="eastAsia" w:ascii="仿宋_GB2312" w:hAnsi="微软雅黑" w:eastAsia="仿宋_GB2312"/>
          <w:color w:val="333333"/>
          <w:sz w:val="28"/>
          <w:szCs w:val="28"/>
        </w:rPr>
        <w:t>吴国行</w:t>
      </w:r>
      <w:bookmarkEnd w:id="0"/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商业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中山市横栏镇横东村中心区控制性详细规划（2022）》中B2-03地块上规划为村庄建设用地。办理规划报建时建筑面积不能超过1000平方米，建筑层数不得超过四层且不大于15米，第四层只允许建</w:t>
      </w:r>
      <w:r>
        <w:rPr>
          <w:rFonts w:hint="eastAsia" w:ascii="仿宋_GB2312" w:hAnsi="微软雅黑" w:eastAsia="仿宋_GB2312" w:cs="Times New Roman"/>
          <w:color w:val="333333"/>
          <w:sz w:val="28"/>
          <w:szCs w:val="28"/>
        </w:rPr>
        <w:t>梯间及辅助用房，面积不得超过基底面积的一半,建筑首层和地下室层高不得超过5米，其它层的层高不得超过3.6米。该用地为国有出让用地，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出让合同没约定容积率，默认为1.5。按个人自建住房建设的，总建筑面积不大于1000平方米，且容积率应不大于约定容积率。若建筑方案（须符合自建房技术标准要求）的容积率大于约定容积率的，可按程序提供建筑方案申请调整容积率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2023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年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30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675D"/>
    <w:rsid w:val="11C2457F"/>
    <w:rsid w:val="2CA01A5A"/>
    <w:rsid w:val="56847C50"/>
    <w:rsid w:val="642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2022-08-30T01:36:00Z</dcterms:created>
  <dc:creator>龚凯恩</dc:creator>
  <cp:lastModifiedBy>龚凯恩</cp:lastModifiedBy>
  <dcterms:modified xsi:type="dcterms:W3CDTF">2023-03-30T08:29:14Z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9F38A1FD81AE420E8ADA307C7E52F50A</vt:lpwstr>
  </property>
</Properties>
</file>