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关于变更粤（20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23</w:t>
      </w:r>
      <w:r>
        <w:rPr>
          <w:rFonts w:hint="eastAsia" w:ascii="黑体" w:hAnsi="黑体" w:eastAsia="黑体"/>
          <w:sz w:val="28"/>
          <w:szCs w:val="28"/>
        </w:rPr>
        <w:t>）中山市不动产权第0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017895</w:t>
      </w:r>
      <w:r>
        <w:rPr>
          <w:rFonts w:hint="eastAsia" w:ascii="黑体" w:hAnsi="黑体" w:eastAsia="黑体"/>
          <w:sz w:val="28"/>
          <w:szCs w:val="28"/>
        </w:rPr>
        <w:t>号用地规划条件公示的通告</w:t>
      </w:r>
      <w:r>
        <w:rPr>
          <w:rFonts w:hint="eastAsia" w:ascii="黑体" w:hAnsi="黑体" w:eastAsia="黑体"/>
          <w:sz w:val="28"/>
          <w:szCs w:val="28"/>
        </w:rPr>
        <w:br w:type="textWrapping"/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</w:t>
      </w:r>
      <w:r>
        <w:drawing>
          <wp:inline distT="0" distB="0" distL="114300" distR="114300">
            <wp:extent cx="2943225" cy="2438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该宗地位于中山市南朗街道翠亨村兰溪正街二巷8号，</w:t>
      </w:r>
      <w:r>
        <w:rPr>
          <w:rFonts w:hint="eastAsia" w:ascii="仿宋" w:hAnsi="仿宋" w:eastAsia="仿宋"/>
          <w:sz w:val="28"/>
          <w:szCs w:val="28"/>
          <w:lang w:eastAsia="zh-CN"/>
        </w:rPr>
        <w:t>不动产权</w:t>
      </w:r>
      <w:r>
        <w:rPr>
          <w:rFonts w:hint="eastAsia" w:ascii="仿宋" w:hAnsi="仿宋" w:eastAsia="仿宋"/>
          <w:sz w:val="28"/>
          <w:szCs w:val="28"/>
        </w:rPr>
        <w:t>证号为粤（20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）中山市不动产权第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0017895</w:t>
      </w:r>
      <w:r>
        <w:rPr>
          <w:rFonts w:hint="eastAsia" w:ascii="仿宋" w:hAnsi="仿宋" w:eastAsia="仿宋"/>
          <w:sz w:val="28"/>
          <w:szCs w:val="28"/>
        </w:rPr>
        <w:t>号，证载土地用途为</w:t>
      </w:r>
      <w:r>
        <w:rPr>
          <w:rFonts w:hint="eastAsia" w:ascii="仿宋" w:hAnsi="仿宋" w:eastAsia="仿宋"/>
          <w:sz w:val="28"/>
          <w:szCs w:val="28"/>
          <w:lang w:eastAsia="zh-CN"/>
        </w:rPr>
        <w:t>农村宅基地</w:t>
      </w:r>
      <w:r>
        <w:rPr>
          <w:rFonts w:hint="eastAsia" w:ascii="仿宋" w:hAnsi="仿宋" w:eastAsia="仿宋"/>
          <w:sz w:val="28"/>
          <w:szCs w:val="28"/>
        </w:rPr>
        <w:t>，用地面积为194.07平方米，土地使用权人为甘燕山。现该单位申请按农房标准变更该宗地规划条件。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该用地基本符合总规，基本符合土规，位于《</w:t>
      </w:r>
      <w:r>
        <w:rPr>
          <w:rFonts w:hint="eastAsia" w:ascii="仿宋" w:hAnsi="仿宋" w:eastAsia="仿宋"/>
          <w:sz w:val="28"/>
          <w:szCs w:val="28"/>
          <w:lang w:eastAsia="zh-CN"/>
        </w:rPr>
        <w:t>中山市南朗镇翠亨村村庄规划</w:t>
      </w:r>
      <w:r>
        <w:rPr>
          <w:rFonts w:hint="eastAsia" w:ascii="仿宋" w:hAnsi="仿宋" w:eastAsia="仿宋"/>
          <w:sz w:val="28"/>
          <w:szCs w:val="28"/>
        </w:rPr>
        <w:t>》，为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类居住用地，基本符合规划用地性质。拟根据相关规定和技术标准办理规划条件变更。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联系电话：85598381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中山市自然资源局翠亨新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2023-03-09T03:11:16Z</dcterms:created>
  <dc:creator>Administrator</dc:creator>
  <cp:lastModifiedBy>栗兵</cp:lastModifiedBy>
  <dcterms:modified xsi:type="dcterms:W3CDTF">2023-03-09T03:15:12Z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9539A175A63F4390962CFE1A20B942FB</vt:lpwstr>
  </property>
</Properties>
</file>