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p>
    <w:p>
      <w:pPr>
        <w:jc w:val="center"/>
        <w:rPr>
          <w:rFonts w:hint="eastAsia" w:ascii="黑体" w:hAnsi="黑体" w:eastAsia="黑体" w:cs="方正小标宋简体"/>
          <w:sz w:val="44"/>
          <w:szCs w:val="44"/>
        </w:rPr>
      </w:pPr>
      <w:bookmarkStart w:id="0" w:name="PO_title"/>
      <w:r>
        <w:rPr>
          <w:rFonts w:hint="eastAsia" w:ascii="方正小标宋简体" w:hAnsi="方正小标宋简体" w:eastAsia="方正小标宋简体" w:cs="方正小标宋简体"/>
          <w:sz w:val="44"/>
          <w:szCs w:val="44"/>
        </w:rPr>
        <w:t xml:space="preserve"> </w:t>
      </w:r>
      <w:r>
        <w:rPr>
          <w:rFonts w:hint="eastAsia" w:ascii="黑体" w:hAnsi="黑体" w:eastAsia="黑体" w:cs="方正小标宋简体"/>
          <w:sz w:val="44"/>
          <w:szCs w:val="44"/>
          <w:lang w:val="en-US" w:eastAsia="zh-CN"/>
        </w:rPr>
        <w:t>2023</w:t>
      </w:r>
      <w:r>
        <w:rPr>
          <w:rFonts w:hint="eastAsia" w:ascii="黑体" w:hAnsi="黑体" w:eastAsia="黑体" w:cs="方正小标宋简体"/>
          <w:sz w:val="44"/>
          <w:szCs w:val="44"/>
        </w:rPr>
        <w:t xml:space="preserve">年 </w:t>
      </w:r>
      <w:bookmarkEnd w:id="0"/>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bookmarkStart w:id="1" w:name="PO_title1"/>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lang w:eastAsia="zh-CN"/>
        </w:rPr>
        <w:t>中山市南朗街道卫生监督所</w:t>
      </w:r>
      <w:r>
        <w:rPr>
          <w:rFonts w:hint="eastAsia" w:ascii="方正小标宋简体" w:hAnsi="方正小标宋简体" w:eastAsia="方正小标宋简体" w:cs="方正小标宋简体"/>
          <w:sz w:val="11"/>
          <w:szCs w:val="11"/>
        </w:rPr>
        <w:t xml:space="preserve"> </w:t>
      </w:r>
      <w:bookmarkEnd w:id="1"/>
      <w:r>
        <w:rPr>
          <w:rFonts w:hint="eastAsia" w:ascii="黑体" w:hAnsi="黑体" w:eastAsia="黑体" w:cs="方正小标宋简体"/>
          <w:sz w:val="44"/>
          <w:szCs w:val="44"/>
        </w:rPr>
        <w:t>部门预算</w:t>
      </w:r>
    </w:p>
    <w:p>
      <w:pPr>
        <w:jc w:val="center"/>
        <w:rPr>
          <w:rFonts w:ascii="黑体" w:hAnsi="黑体" w:eastAsia="黑体" w:cs="方正小标宋简体"/>
          <w:sz w:val="44"/>
          <w:szCs w:val="44"/>
        </w:rPr>
      </w:pPr>
      <w:r>
        <w:rPr>
          <w:rFonts w:hint="eastAsia" w:ascii="黑体" w:hAnsi="黑体" w:eastAsia="黑体" w:cs="方正小标宋简体"/>
          <w:sz w:val="44"/>
          <w:szCs w:val="44"/>
        </w:rPr>
        <w:t>目 录</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第一部分  </w:t>
      </w:r>
      <w:bookmarkStart w:id="2" w:name="PO_dirDivName1"/>
      <w:r>
        <w:rPr>
          <w:rFonts w:hint="eastAsia" w:ascii="黑体" w:hAnsi="黑体" w:eastAsia="黑体" w:cs="黑体"/>
          <w:b/>
          <w:sz w:val="32"/>
          <w:szCs w:val="32"/>
          <w:lang w:eastAsia="zh-CN"/>
        </w:rPr>
        <w:t>中山市南朗街道卫生监督所</w:t>
      </w:r>
      <w:r>
        <w:rPr>
          <w:rFonts w:hint="eastAsia" w:ascii="黑体" w:hAnsi="黑体" w:eastAsia="黑体" w:cs="黑体"/>
          <w:b/>
          <w:sz w:val="11"/>
          <w:szCs w:val="11"/>
        </w:rPr>
        <w:t xml:space="preserve"> </w:t>
      </w:r>
      <w:bookmarkEnd w:id="2"/>
      <w:r>
        <w:rPr>
          <w:rFonts w:hint="eastAsia" w:ascii="黑体" w:hAnsi="黑体" w:eastAsia="黑体" w:cs="黑体"/>
          <w:b/>
          <w:sz w:val="32"/>
          <w:szCs w:val="32"/>
        </w:rPr>
        <w:t>概况</w:t>
      </w:r>
    </w:p>
    <w:p>
      <w:pPr>
        <w:numPr>
          <w:ilvl w:val="0"/>
          <w:numId w:val="1"/>
        </w:numPr>
        <w:ind w:firstLine="640" w:firstLineChars="200"/>
        <w:rPr>
          <w:rFonts w:ascii="黑体" w:hAnsi="黑体" w:eastAsia="黑体" w:cs="仿宋_GB2312"/>
          <w:sz w:val="32"/>
          <w:szCs w:val="32"/>
        </w:rPr>
      </w:pPr>
      <w:r>
        <w:rPr>
          <w:rFonts w:hint="eastAsia" w:ascii="黑体" w:hAnsi="黑体" w:eastAsia="黑体" w:cs="仿宋_GB2312"/>
          <w:sz w:val="32"/>
          <w:szCs w:val="32"/>
        </w:rPr>
        <w:t>主要职责</w:t>
      </w:r>
    </w:p>
    <w:p>
      <w:pPr>
        <w:numPr>
          <w:ilvl w:val="0"/>
          <w:numId w:val="1"/>
        </w:numPr>
        <w:ind w:firstLine="640" w:firstLineChars="200"/>
        <w:rPr>
          <w:rFonts w:ascii="黑体" w:hAnsi="黑体" w:eastAsia="黑体" w:cs="仿宋_GB2312"/>
          <w:sz w:val="32"/>
          <w:szCs w:val="32"/>
        </w:rPr>
      </w:pPr>
      <w:r>
        <w:rPr>
          <w:rFonts w:hint="eastAsia" w:ascii="黑体" w:hAnsi="黑体" w:eastAsia="黑体" w:cs="仿宋_GB2312"/>
          <w:sz w:val="32"/>
          <w:szCs w:val="32"/>
        </w:rPr>
        <w:t>部门机构设置</w:t>
      </w:r>
    </w:p>
    <w:p>
      <w:pPr>
        <w:numPr>
          <w:ilvl w:val="0"/>
          <w:numId w:val="1"/>
        </w:numPr>
        <w:ind w:firstLine="640"/>
        <w:rPr>
          <w:rFonts w:hint="eastAsia" w:ascii="黑体" w:hAnsi="黑体" w:eastAsia="黑体" w:cs="仿宋_GB2312"/>
          <w:sz w:val="32"/>
          <w:szCs w:val="32"/>
        </w:rPr>
      </w:pPr>
      <w:r>
        <w:rPr>
          <w:rFonts w:hint="eastAsia" w:ascii="黑体" w:hAnsi="黑体" w:eastAsia="黑体" w:cs="仿宋_GB2312"/>
          <w:sz w:val="32"/>
          <w:szCs w:val="32"/>
        </w:rPr>
        <w:t>部门预算构成</w:t>
      </w:r>
    </w:p>
    <w:p>
      <w:pPr>
        <w:ind w:firstLine="643" w:firstLineChars="200"/>
        <w:rPr>
          <w:rFonts w:ascii="仿宋_GB2312" w:hAnsi="仿宋_GB2312" w:eastAsia="仿宋_GB2312" w:cs="仿宋_GB2312"/>
          <w:b/>
          <w:sz w:val="32"/>
          <w:szCs w:val="32"/>
        </w:rPr>
      </w:pPr>
      <w:r>
        <w:rPr>
          <w:rFonts w:hint="eastAsia" w:ascii="黑体" w:hAnsi="黑体" w:eastAsia="黑体" w:cs="黑体"/>
          <w:b/>
          <w:sz w:val="32"/>
          <w:szCs w:val="32"/>
        </w:rPr>
        <w:t xml:space="preserve">第二部分  </w:t>
      </w:r>
      <w:bookmarkStart w:id="3" w:name="PO_Year1"/>
      <w:r>
        <w:rPr>
          <w:rFonts w:hint="eastAsia" w:ascii="黑体" w:hAnsi="黑体" w:eastAsia="黑体" w:cs="黑体"/>
          <w:b/>
          <w:sz w:val="32"/>
          <w:szCs w:val="32"/>
          <w:lang w:val="en-US" w:eastAsia="zh-CN"/>
        </w:rPr>
        <w:t>2023</w:t>
      </w:r>
      <w:r>
        <w:rPr>
          <w:rFonts w:ascii="黑体" w:hAnsi="黑体" w:eastAsia="黑体" w:cs="黑体"/>
          <w:b/>
          <w:sz w:val="11"/>
          <w:szCs w:val="11"/>
        </w:rPr>
        <w:t xml:space="preserve"> </w:t>
      </w:r>
      <w:bookmarkEnd w:id="3"/>
      <w:r>
        <w:rPr>
          <w:rFonts w:hint="eastAsia" w:ascii="黑体" w:hAnsi="黑体" w:eastAsia="黑体" w:cs="黑体"/>
          <w:b/>
          <w:sz w:val="32"/>
          <w:szCs w:val="32"/>
        </w:rPr>
        <w:t>年部门预算表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一、收支总体情况表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二、收入总体情况表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三、支出总体情况表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四、财政拨款收支总体情况表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五、一般公共预算支出情况表（按功能分类科目）</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六、一般公共预算基本支出情况表（按经济分类款级科目）</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七、财政拨款安排的行政经费及“三公”经费预算表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八、政府性基金预算支出情况表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九、国有资本经营预算支出情况表</w:t>
      </w:r>
      <w:r>
        <w:rPr>
          <w:rFonts w:hint="eastAsia" w:ascii="黑体" w:hAnsi="黑体" w:eastAsia="黑体" w:cs="仿宋_GB2312"/>
          <w:sz w:val="32"/>
          <w:szCs w:val="32"/>
          <w:lang w:val="en-US" w:eastAsia="zh-CN"/>
        </w:rPr>
        <w:t xml:space="preserve">  </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第三部分  </w:t>
      </w:r>
      <w:bookmarkStart w:id="4" w:name="PO_Year2"/>
      <w:r>
        <w:rPr>
          <w:rFonts w:hint="eastAsia" w:ascii="黑体" w:hAnsi="黑体" w:eastAsia="黑体" w:cs="黑体"/>
          <w:b/>
          <w:sz w:val="32"/>
          <w:szCs w:val="32"/>
          <w:lang w:val="en-US" w:eastAsia="zh-CN"/>
        </w:rPr>
        <w:t>2023</w:t>
      </w:r>
      <w:r>
        <w:rPr>
          <w:rFonts w:ascii="黑体" w:hAnsi="黑体" w:eastAsia="黑体" w:cs="黑体"/>
          <w:b/>
          <w:sz w:val="11"/>
          <w:szCs w:val="11"/>
        </w:rPr>
        <w:t xml:space="preserve"> </w:t>
      </w:r>
      <w:bookmarkEnd w:id="4"/>
      <w:r>
        <w:rPr>
          <w:rFonts w:hint="eastAsia" w:ascii="黑体" w:hAnsi="黑体" w:eastAsia="黑体" w:cs="黑体"/>
          <w:b/>
          <w:sz w:val="32"/>
          <w:szCs w:val="32"/>
        </w:rPr>
        <w:t>年部门预算情况说明</w:t>
      </w:r>
    </w:p>
    <w:p>
      <w:pPr>
        <w:ind w:firstLine="643" w:firstLineChars="200"/>
        <w:rPr>
          <w:rFonts w:hint="eastAsia" w:ascii="黑体" w:hAnsi="黑体" w:eastAsia="黑体" w:cs="黑体"/>
          <w:b/>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b/>
          <w:sz w:val="32"/>
          <w:szCs w:val="32"/>
        </w:rPr>
        <w:t>第四部分  名词解释</w:t>
      </w:r>
    </w:p>
    <w:p>
      <w:pPr>
        <w:jc w:val="center"/>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 xml:space="preserve">第一部分  </w:t>
      </w:r>
      <w:bookmarkStart w:id="5" w:name="PO_part1DivName1"/>
      <w:r>
        <w:rPr>
          <w:rFonts w:hint="eastAsia" w:ascii="黑体" w:hAnsi="黑体" w:eastAsia="黑体" w:cs="方正小标宋简体"/>
          <w:sz w:val="44"/>
          <w:szCs w:val="44"/>
          <w:lang w:eastAsia="zh-CN"/>
        </w:rPr>
        <w:t>部门</w:t>
      </w:r>
      <w:r>
        <w:rPr>
          <w:rFonts w:ascii="方正小标宋简体" w:hAnsi="方正小标宋简体" w:eastAsia="方正小标宋简体" w:cs="方正小标宋简体"/>
          <w:sz w:val="11"/>
          <w:szCs w:val="11"/>
        </w:rPr>
        <w:t xml:space="preserve"> </w:t>
      </w:r>
      <w:bookmarkEnd w:id="5"/>
      <w:r>
        <w:rPr>
          <w:rFonts w:hint="eastAsia" w:ascii="黑体" w:hAnsi="黑体" w:eastAsia="黑体" w:cs="方正小标宋简体"/>
          <w:sz w:val="44"/>
          <w:szCs w:val="44"/>
        </w:rPr>
        <w:t>概况</w:t>
      </w:r>
    </w:p>
    <w:p>
      <w:pPr>
        <w:rPr>
          <w:rFonts w:ascii="黑体" w:hAnsi="黑体" w:eastAsia="黑体" w:cs="黑体"/>
          <w:sz w:val="44"/>
          <w:szCs w:val="44"/>
        </w:rPr>
      </w:pPr>
    </w:p>
    <w:p>
      <w:pPr>
        <w:numPr>
          <w:ilvl w:val="0"/>
          <w:numId w:val="2"/>
        </w:numPr>
        <w:ind w:firstLine="640"/>
        <w:rPr>
          <w:rFonts w:ascii="黑体" w:hAnsi="黑体" w:eastAsia="黑体" w:cs="黑体"/>
          <w:sz w:val="32"/>
          <w:szCs w:val="32"/>
        </w:rPr>
      </w:pPr>
      <w:r>
        <w:rPr>
          <w:rFonts w:hint="eastAsia" w:ascii="黑体" w:hAnsi="黑体" w:eastAsia="黑体" w:cs="黑体"/>
          <w:sz w:val="32"/>
          <w:szCs w:val="32"/>
        </w:rPr>
        <w:t>主要职责</w:t>
      </w:r>
    </w:p>
    <w:p>
      <w:pPr>
        <w:spacing w:line="520" w:lineRule="exact"/>
        <w:ind w:firstLine="640" w:firstLineChars="200"/>
        <w:rPr>
          <w:rFonts w:hint="eastAsia" w:ascii="仿宋_GB2312" w:eastAsia="仿宋_GB2312"/>
          <w:sz w:val="30"/>
          <w:szCs w:val="30"/>
          <w:lang w:val="en-US" w:eastAsia="zh-CN"/>
        </w:rPr>
      </w:pPr>
      <w:r>
        <w:rPr>
          <w:rFonts w:hint="eastAsia" w:ascii="仿宋_GB2312" w:hAnsi="仿宋_GB2312" w:eastAsia="仿宋_GB2312" w:cs="仿宋_GB2312"/>
          <w:sz w:val="32"/>
          <w:szCs w:val="32"/>
        </w:rPr>
        <w:t xml:space="preserve">  </w:t>
      </w:r>
      <w:bookmarkStart w:id="6" w:name="PO_part1Responsibilities"/>
      <w:r>
        <w:rPr>
          <w:rFonts w:ascii="仿宋_GB2312" w:hAnsi="仿宋_GB2312" w:eastAsia="仿宋_GB2312" w:cs="仿宋_GB2312"/>
          <w:sz w:val="32"/>
          <w:szCs w:val="32"/>
        </w:rPr>
        <w:t xml:space="preserve"> </w:t>
      </w:r>
      <w:r>
        <w:rPr>
          <w:rFonts w:hint="eastAsia" w:ascii="仿宋_GB2312" w:eastAsia="仿宋_GB2312"/>
          <w:sz w:val="30"/>
          <w:szCs w:val="30"/>
          <w:lang w:val="en-US" w:eastAsia="zh-CN"/>
        </w:rPr>
        <w:t>在市卫生健康局和镇卫生健康分局委托权限内完成以下工作职责：</w:t>
      </w:r>
    </w:p>
    <w:p>
      <w:pPr>
        <w:spacing w:line="520" w:lineRule="exact"/>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（一）公共场所和医疗机构行政许可申请受理、审核与出证。</w:t>
      </w:r>
    </w:p>
    <w:p>
      <w:pPr>
        <w:spacing w:line="520" w:lineRule="exact"/>
        <w:ind w:firstLine="600" w:firstLineChars="200"/>
        <w:rPr>
          <w:rFonts w:hint="eastAsia" w:ascii="仿宋" w:hAnsi="仿宋" w:eastAsia="仿宋" w:cs="仿宋"/>
          <w:b w:val="0"/>
          <w:bCs w:val="0"/>
          <w:sz w:val="30"/>
          <w:szCs w:val="30"/>
          <w:lang w:val="en-US" w:eastAsia="zh-CN"/>
        </w:rPr>
      </w:pPr>
      <w:r>
        <w:rPr>
          <w:rFonts w:hint="eastAsia" w:ascii="仿宋_GB2312" w:eastAsia="仿宋_GB2312"/>
          <w:sz w:val="30"/>
          <w:szCs w:val="30"/>
          <w:lang w:val="en-US" w:eastAsia="zh-CN"/>
        </w:rPr>
        <w:t>（二）</w:t>
      </w:r>
      <w:r>
        <w:rPr>
          <w:rFonts w:hint="eastAsia" w:ascii="仿宋" w:hAnsi="仿宋" w:eastAsia="仿宋" w:cs="仿宋"/>
          <w:b w:val="0"/>
          <w:bCs w:val="0"/>
          <w:sz w:val="30"/>
          <w:szCs w:val="30"/>
          <w:lang w:val="en-US" w:eastAsia="zh-CN"/>
        </w:rPr>
        <w:t>对辖区内公共场所、医疗机构、</w:t>
      </w:r>
      <w:r>
        <w:rPr>
          <w:rFonts w:hint="eastAsia" w:ascii="仿宋_GB2312" w:eastAsia="仿宋_GB2312"/>
          <w:sz w:val="30"/>
          <w:szCs w:val="30"/>
          <w:lang w:val="en-US" w:eastAsia="zh-CN"/>
        </w:rPr>
        <w:t>学校托幼机构和供水单位等</w:t>
      </w:r>
      <w:r>
        <w:rPr>
          <w:rFonts w:hint="eastAsia" w:ascii="仿宋" w:hAnsi="仿宋" w:eastAsia="仿宋" w:cs="仿宋"/>
          <w:b w:val="0"/>
          <w:bCs w:val="0"/>
          <w:sz w:val="30"/>
          <w:szCs w:val="30"/>
          <w:lang w:val="en-US" w:eastAsia="zh-CN"/>
        </w:rPr>
        <w:t>进行监督检查。</w:t>
      </w:r>
    </w:p>
    <w:p>
      <w:pPr>
        <w:spacing w:line="520" w:lineRule="exact"/>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（三）对执业资格、范围及其医务人员的执业资格、注册进行监督检查，打击非法行医行为。</w:t>
      </w:r>
    </w:p>
    <w:p>
      <w:pPr>
        <w:spacing w:line="520" w:lineRule="exact"/>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（四）对采供用血机构的血液管理行为进行卫生监督检查。</w:t>
      </w:r>
    </w:p>
    <w:p>
      <w:pPr>
        <w:spacing w:line="520" w:lineRule="exact"/>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（五）对医疗机构的传染病疫情报告、疫情控制措施、消毒隔离制度执行情况和医疗废物处置情况、放射诊疗进行等卫生监督检查。</w:t>
      </w:r>
    </w:p>
    <w:p>
      <w:pPr>
        <w:spacing w:line="520" w:lineRule="exact"/>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（六)负责重大活动卫生监督保障工作。</w:t>
      </w:r>
    </w:p>
    <w:p>
      <w:pPr>
        <w:spacing w:line="520" w:lineRule="exact"/>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(七）开展突发急性传染病、重大灾害、饮用水污染、职业中毒等突发公共卫生事件的监督执法。</w:t>
      </w:r>
    </w:p>
    <w:p>
      <w:pPr>
        <w:spacing w:line="520" w:lineRule="exact"/>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（八）受理卫生违法行为的投诉举报，对违法案件进行调查取证，提出处理意见并执行卫生行政部门的处罚决定。</w:t>
      </w:r>
    </w:p>
    <w:p>
      <w:pPr>
        <w:spacing w:line="520" w:lineRule="exact"/>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（九）对用人单位、医疗卫生机构开展职业卫生、放射卫生监督检查，开展职业卫生监督执法工作。</w:t>
      </w:r>
    </w:p>
    <w:p>
      <w:pPr>
        <w:spacing w:line="520" w:lineRule="exact"/>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（十）开展计划生育监督检查，并对母婴保健机构、计划生育技术服务机构服务内容和从业人员的行为规范进行监督，打击“两非”行为。</w:t>
      </w:r>
    </w:p>
    <w:p>
      <w:pPr>
        <w:spacing w:line="520" w:lineRule="exact"/>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（十一）处置公共卫生事件。</w:t>
      </w:r>
    </w:p>
    <w:p>
      <w:pPr>
        <w:ind w:firstLine="150" w:firstLineChars="50"/>
        <w:rPr>
          <w:rFonts w:hint="eastAsia" w:ascii="仿宋_GB2312" w:hAnsi="仿宋_GB2312" w:eastAsia="仿宋_GB2312" w:cs="仿宋_GB2312"/>
          <w:sz w:val="30"/>
          <w:szCs w:val="30"/>
        </w:rPr>
      </w:pPr>
      <w:r>
        <w:rPr>
          <w:rFonts w:hint="eastAsia" w:ascii="仿宋" w:hAnsi="仿宋" w:eastAsia="仿宋" w:cs="仿宋"/>
          <w:b w:val="0"/>
          <w:bCs w:val="0"/>
          <w:sz w:val="30"/>
          <w:szCs w:val="30"/>
          <w:lang w:val="en-US" w:eastAsia="zh-CN"/>
        </w:rPr>
        <w:t>（十二)负责辖卫生计生综合监督信息的收集、核实和上报</w:t>
      </w:r>
    </w:p>
    <w:p>
      <w:pPr>
        <w:ind w:firstLine="150" w:firstLineChars="50"/>
        <w:rPr>
          <w:rFonts w:hint="eastAsia" w:ascii="仿宋_GB2312" w:hAnsi="仿宋_GB2312" w:eastAsia="仿宋_GB2312" w:cs="仿宋_GB2312"/>
          <w:sz w:val="32"/>
          <w:szCs w:val="32"/>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2"/>
          <w:szCs w:val="32"/>
        </w:rPr>
        <w:t xml:space="preserve"> </w:t>
      </w:r>
      <w:bookmarkEnd w:id="6"/>
    </w:p>
    <w:p>
      <w:pPr>
        <w:numPr>
          <w:ilvl w:val="0"/>
          <w:numId w:val="2"/>
        </w:numPr>
        <w:ind w:firstLine="640"/>
        <w:rPr>
          <w:rFonts w:hint="eastAsia" w:ascii="黑体" w:hAnsi="黑体" w:eastAsia="黑体" w:cs="黑体"/>
          <w:sz w:val="32"/>
          <w:szCs w:val="32"/>
        </w:rPr>
      </w:pPr>
      <w:r>
        <w:rPr>
          <w:rFonts w:hint="eastAsia" w:ascii="黑体" w:hAnsi="黑体" w:eastAsia="黑体" w:cs="黑体"/>
          <w:sz w:val="32"/>
          <w:szCs w:val="32"/>
        </w:rPr>
        <w:t>部门机构设置</w:t>
      </w:r>
    </w:p>
    <w:p>
      <w:pPr>
        <w:ind w:firstLine="160" w:firstLineChars="50"/>
        <w:rPr>
          <w:rFonts w:hint="eastAsia"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bookmarkStart w:id="7" w:name="PO_part2Organization"/>
      <w:r>
        <w:rPr>
          <w:rFonts w:hint="eastAsia" w:ascii="仿宋_GB2312" w:hAnsi="仿宋_GB2312" w:eastAsia="仿宋_GB2312" w:cs="仿宋_GB2312"/>
          <w:sz w:val="32"/>
          <w:szCs w:val="32"/>
        </w:rPr>
        <w:t xml:space="preserve"> </w:t>
      </w:r>
      <w:r>
        <w:rPr>
          <w:rFonts w:hint="eastAsia" w:eastAsia="仿宋_GB2312"/>
          <w:sz w:val="32"/>
          <w:szCs w:val="32"/>
          <w:lang w:eastAsia="zh-CN"/>
        </w:rPr>
        <w:t>本部门无</w:t>
      </w:r>
      <w:bookmarkStart w:id="78" w:name="_GoBack"/>
      <w:bookmarkEnd w:id="78"/>
      <w:r>
        <w:rPr>
          <w:rFonts w:hint="eastAsia" w:eastAsia="仿宋_GB2312"/>
          <w:sz w:val="32"/>
          <w:szCs w:val="32"/>
          <w:lang w:eastAsia="zh-CN"/>
        </w:rPr>
        <w:t>下属单位，部门预算为本级预算。</w:t>
      </w:r>
      <w:r>
        <w:rPr>
          <w:rFonts w:hint="eastAsia" w:ascii="仿宋_GB2312" w:hAnsi="仿宋_GB2312" w:eastAsia="仿宋_GB2312" w:cs="仿宋_GB2312"/>
          <w:sz w:val="32"/>
          <w:szCs w:val="32"/>
        </w:rPr>
        <w:t xml:space="preserve"> </w:t>
      </w:r>
      <w:bookmarkEnd w:id="7"/>
      <w:r>
        <w:rPr>
          <w:rFonts w:hint="eastAsia" w:ascii="仿宋_GB2312" w:hAnsi="仿宋_GB2312" w:eastAsia="仿宋_GB2312" w:cs="仿宋_GB2312"/>
          <w:sz w:val="32"/>
          <w:szCs w:val="32"/>
        </w:rPr>
        <w:t xml:space="preserve"> </w:t>
      </w:r>
    </w:p>
    <w:p>
      <w:pPr>
        <w:numPr>
          <w:ilvl w:val="0"/>
          <w:numId w:val="2"/>
        </w:numPr>
        <w:ind w:firstLine="640"/>
        <w:rPr>
          <w:rFonts w:hint="eastAsia" w:ascii="黑体" w:hAnsi="黑体" w:eastAsia="黑体" w:cs="黑体"/>
          <w:sz w:val="32"/>
          <w:szCs w:val="32"/>
        </w:rPr>
      </w:pPr>
      <w:r>
        <w:rPr>
          <w:rFonts w:hint="eastAsia" w:ascii="黑体" w:hAnsi="黑体" w:eastAsia="黑体" w:cs="黑体"/>
          <w:sz w:val="32"/>
          <w:szCs w:val="32"/>
        </w:rPr>
        <w:t>部门预算构成</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8" w:name="PO_part1Organization"/>
      <w:r>
        <w:rPr>
          <w:rFonts w:ascii="仿宋_GB2312" w:hAnsi="仿宋_GB2312" w:eastAsia="仿宋_GB2312" w:cs="仿宋_GB2312"/>
          <w:sz w:val="32"/>
          <w:szCs w:val="32"/>
        </w:rPr>
        <w:t xml:space="preserve"> </w:t>
      </w:r>
      <w:r>
        <w:rPr>
          <w:rFonts w:hint="eastAsia" w:ascii="仿宋_GB2312" w:hAnsi="仿宋_GB2312" w:eastAsia="仿宋_GB2312" w:cs="仿宋_GB2312"/>
          <w:sz w:val="30"/>
          <w:szCs w:val="30"/>
        </w:rPr>
        <w:t xml:space="preserve"> 本部门无下属单位，部门预算为厅（委、局、办）本级预算。 </w:t>
      </w:r>
      <w:r>
        <w:rPr>
          <w:rFonts w:hint="eastAsia" w:ascii="仿宋_GB2312" w:hAnsi="仿宋_GB2312" w:eastAsia="仿宋_GB2312" w:cs="仿宋_GB2312"/>
          <w:sz w:val="32"/>
          <w:szCs w:val="32"/>
        </w:rPr>
        <w:t xml:space="preserve"> </w:t>
      </w:r>
      <w:bookmarkEnd w:id="8"/>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p>
    <w:p>
      <w:pPr>
        <w:tabs>
          <w:tab w:val="center" w:pos="6979"/>
        </w:tabs>
        <w:jc w:val="left"/>
        <w:rPr>
          <w:rFonts w:hint="eastAsia"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ab/>
      </w:r>
      <w:r>
        <w:rPr>
          <w:rFonts w:hint="eastAsia" w:ascii="黑体" w:hAnsi="黑体" w:eastAsia="黑体" w:cs="方正小标宋简体"/>
          <w:sz w:val="44"/>
          <w:szCs w:val="44"/>
        </w:rPr>
        <w:t xml:space="preserve">第二部分  </w:t>
      </w:r>
      <w:bookmarkStart w:id="9" w:name="PO_part2Year1"/>
      <w:r>
        <w:rPr>
          <w:rFonts w:hint="eastAsia" w:ascii="黑体" w:hAnsi="黑体" w:eastAsia="黑体" w:cs="方正小标宋简体"/>
          <w:sz w:val="44"/>
          <w:szCs w:val="44"/>
          <w:lang w:val="en-US" w:eastAsia="zh-CN"/>
        </w:rPr>
        <w:t>2023</w:t>
      </w:r>
      <w:r>
        <w:rPr>
          <w:rFonts w:ascii="方正小标宋简体" w:hAnsi="方正小标宋简体" w:eastAsia="方正小标宋简体" w:cs="方正小标宋简体"/>
          <w:sz w:val="11"/>
          <w:szCs w:val="11"/>
        </w:rPr>
        <w:t xml:space="preserve"> </w:t>
      </w:r>
      <w:bookmarkEnd w:id="9"/>
      <w:r>
        <w:rPr>
          <w:rFonts w:hint="eastAsia" w:ascii="黑体" w:hAnsi="黑体" w:eastAsia="黑体" w:cs="方正小标宋简体"/>
          <w:sz w:val="44"/>
          <w:szCs w:val="44"/>
        </w:rPr>
        <w:t>年部门预算表</w:t>
      </w:r>
    </w:p>
    <w:p>
      <w:pPr>
        <w:jc w:val="left"/>
        <w:rPr>
          <w:rFonts w:hint="eastAsia"/>
        </w:rPr>
      </w:pPr>
      <w:bookmarkStart w:id="10" w:name="PO_part2Table1"/>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0630" w:type="dxa"/>
            <w:gridSpan w:val="3"/>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11" w:name="PO_part2Table1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中山市南朗街道卫生监督所</w:t>
            </w:r>
            <w:r>
              <w:rPr>
                <w:rFonts w:hint="eastAsia" w:ascii="宋体" w:hAnsi="宋体"/>
                <w:color w:val="000000"/>
                <w:kern w:val="0"/>
                <w:sz w:val="18"/>
                <w:szCs w:val="18"/>
              </w:rPr>
              <w:t xml:space="preserve"> </w:t>
            </w:r>
            <w:bookmarkEnd w:id="11"/>
          </w:p>
        </w:tc>
        <w:tc>
          <w:tcPr>
            <w:tcW w:w="3544"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086" w:type="dxa"/>
            <w:gridSpan w:val="2"/>
            <w:tcBorders>
              <w:top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color w:val="000000"/>
                <w:kern w:val="0"/>
                <w:sz w:val="18"/>
                <w:szCs w:val="18"/>
              </w:rPr>
              <w:t>收        入</w:t>
            </w:r>
          </w:p>
        </w:tc>
        <w:tc>
          <w:tcPr>
            <w:tcW w:w="7088" w:type="dxa"/>
            <w:gridSpan w:val="2"/>
            <w:tcBorders>
              <w:top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3"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3543"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预算</w:t>
            </w:r>
          </w:p>
        </w:tc>
        <w:tc>
          <w:tcPr>
            <w:tcW w:w="3544"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3544"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一、预算拨款</w:t>
            </w:r>
          </w:p>
        </w:tc>
        <w:tc>
          <w:tcPr>
            <w:tcW w:w="3543" w:type="dxa"/>
            <w:noWrap w:val="0"/>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181.06</w:t>
            </w: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一、一般公共服务支出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二、财政专户拨款</w:t>
            </w:r>
          </w:p>
        </w:tc>
        <w:tc>
          <w:tcPr>
            <w:tcW w:w="3543"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二、外交支出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三、其他资金</w:t>
            </w:r>
          </w:p>
        </w:tc>
        <w:tc>
          <w:tcPr>
            <w:tcW w:w="3543"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三、国防支出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四、公共安全支出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五、教育支出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六、科学技术支出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七、文化旅游体育与传媒支出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八、社会保障和就业支出</w:t>
            </w:r>
          </w:p>
        </w:tc>
        <w:tc>
          <w:tcPr>
            <w:tcW w:w="3544" w:type="dxa"/>
            <w:noWrap w:val="0"/>
            <w:vAlign w:val="center"/>
          </w:tcPr>
          <w:p>
            <w:pPr>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九、卫生健康支出</w:t>
            </w:r>
          </w:p>
        </w:tc>
        <w:tc>
          <w:tcPr>
            <w:tcW w:w="3544" w:type="dxa"/>
            <w:noWrap w:val="0"/>
            <w:vAlign w:val="center"/>
          </w:tcPr>
          <w:p>
            <w:pPr>
              <w:jc w:val="right"/>
              <w:rPr>
                <w:rFonts w:hint="default" w:ascii="宋体" w:hAnsi="宋体" w:eastAsia="宋体" w:cs="宋体"/>
                <w:sz w:val="18"/>
                <w:szCs w:val="18"/>
                <w:lang w:val="en-US" w:eastAsia="zh-CN"/>
              </w:rPr>
            </w:pPr>
            <w:r>
              <w:rPr>
                <w:rFonts w:hint="eastAsia" w:ascii="宋体" w:hAnsi="宋体" w:eastAsia="宋体" w:cs="宋体"/>
                <w:color w:val="000000"/>
                <w:sz w:val="18"/>
                <w:szCs w:val="18"/>
                <w:lang w:val="en-US" w:eastAsia="zh-CN"/>
              </w:rPr>
              <w:t>155.62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十、节能环保支出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十一、城乡社区支出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十二、农林水支出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十三、交通运输支出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十四、资源勘探工业信息等支出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十五、商业服务业等支出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十六、金融支出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十七、援助其他地区支出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十八、自然资源海洋气象等支出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十九、住房保障支出</w:t>
            </w:r>
          </w:p>
        </w:tc>
        <w:tc>
          <w:tcPr>
            <w:tcW w:w="3544" w:type="dxa"/>
            <w:noWrap w:val="0"/>
            <w:vAlign w:val="center"/>
          </w:tcPr>
          <w:p>
            <w:pPr>
              <w:jc w:val="right"/>
              <w:rPr>
                <w:rFonts w:hint="default" w:ascii="宋体" w:hAnsi="宋体" w:eastAsia="宋体" w:cs="宋体"/>
                <w:sz w:val="18"/>
                <w:szCs w:val="18"/>
                <w:lang w:val="en-US" w:eastAsia="zh-CN"/>
              </w:rPr>
            </w:pPr>
            <w:r>
              <w:rPr>
                <w:rFonts w:hint="eastAsia" w:ascii="宋体" w:hAnsi="宋体" w:eastAsia="宋体" w:cs="宋体"/>
                <w:color w:val="000000"/>
                <w:sz w:val="18"/>
                <w:szCs w:val="18"/>
                <w:lang w:val="en-US" w:eastAsia="zh-CN"/>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rPr>
              <w:t>二十、</w:t>
            </w:r>
            <w:r>
              <w:rPr>
                <w:rFonts w:hint="eastAsia" w:ascii="宋体" w:hAnsi="宋体" w:eastAsia="宋体" w:cs="宋体"/>
                <w:color w:val="000000"/>
                <w:kern w:val="0"/>
                <w:sz w:val="18"/>
                <w:szCs w:val="18"/>
              </w:rPr>
              <w:t>粮油物资储备支出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一</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国有资本经营预算支出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二</w:t>
            </w:r>
            <w:r>
              <w:rPr>
                <w:rFonts w:hint="eastAsia" w:ascii="宋体" w:hAnsi="宋体" w:eastAsia="宋体" w:cs="宋体"/>
                <w:color w:val="000000"/>
                <w:kern w:val="0"/>
                <w:sz w:val="18"/>
                <w:szCs w:val="18"/>
              </w:rPr>
              <w:t>、灾害防治及应急管理支出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jc w:val="left"/>
              <w:rPr>
                <w:rFonts w:hint="eastAsia" w:ascii="宋体" w:hAnsi="宋体" w:eastAsia="宋体" w:cs="宋体"/>
                <w:color w:val="000000"/>
                <w:sz w:val="18"/>
                <w:szCs w:val="18"/>
              </w:rPr>
            </w:pPr>
          </w:p>
        </w:tc>
        <w:tc>
          <w:tcPr>
            <w:tcW w:w="3543" w:type="dxa"/>
            <w:noWrap w:val="0"/>
            <w:vAlign w:val="center"/>
          </w:tcPr>
          <w:p>
            <w:pPr>
              <w:jc w:val="right"/>
              <w:rPr>
                <w:rFonts w:hint="eastAsia" w:ascii="宋体" w:hAnsi="宋体" w:eastAsia="宋体" w:cs="宋体"/>
                <w:color w:val="000000"/>
                <w:sz w:val="18"/>
                <w:szCs w:val="18"/>
              </w:rPr>
            </w:pP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三</w:t>
            </w:r>
            <w:r>
              <w:rPr>
                <w:rFonts w:hint="eastAsia" w:ascii="宋体" w:hAnsi="宋体" w:eastAsia="宋体" w:cs="宋体"/>
                <w:color w:val="000000"/>
                <w:kern w:val="0"/>
                <w:sz w:val="18"/>
                <w:szCs w:val="18"/>
              </w:rPr>
              <w:t>、其他支出</w:t>
            </w:r>
          </w:p>
        </w:tc>
        <w:tc>
          <w:tcPr>
            <w:tcW w:w="3544" w:type="dxa"/>
            <w:noWrap w:val="0"/>
            <w:vAlign w:val="center"/>
          </w:tcPr>
          <w:p>
            <w:pPr>
              <w:jc w:val="right"/>
              <w:rPr>
                <w:rFonts w:hint="eastAsia" w:ascii="宋体" w:hAnsi="宋体" w:eastAsia="宋体" w:cs="宋体"/>
                <w:color w:val="000000"/>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本年收入合计</w:t>
            </w:r>
          </w:p>
        </w:tc>
        <w:tc>
          <w:tcPr>
            <w:tcW w:w="3543" w:type="dxa"/>
            <w:noWrap w:val="0"/>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181.06</w:t>
            </w:r>
          </w:p>
        </w:tc>
        <w:tc>
          <w:tcPr>
            <w:tcW w:w="3544"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本年支出合计</w:t>
            </w:r>
          </w:p>
        </w:tc>
        <w:tc>
          <w:tcPr>
            <w:tcW w:w="3544" w:type="dxa"/>
            <w:noWrap w:val="0"/>
            <w:vAlign w:val="center"/>
          </w:tcPr>
          <w:p>
            <w:pPr>
              <w:jc w:val="right"/>
              <w:rPr>
                <w:rFonts w:hint="default" w:ascii="宋体" w:hAnsi="宋体" w:eastAsia="宋体" w:cs="宋体"/>
                <w:sz w:val="18"/>
                <w:szCs w:val="18"/>
                <w:lang w:val="en-US" w:eastAsia="zh-CN"/>
              </w:rPr>
            </w:pPr>
            <w:r>
              <w:rPr>
                <w:rFonts w:hint="eastAsia" w:ascii="宋体" w:hAnsi="宋体" w:eastAsia="宋体" w:cs="宋体"/>
                <w:color w:val="000000"/>
                <w:sz w:val="18"/>
                <w:szCs w:val="18"/>
                <w:lang w:val="en-US" w:eastAsia="zh-CN"/>
              </w:rPr>
              <w:t>181.06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四、上级补助收入</w:t>
            </w:r>
          </w:p>
        </w:tc>
        <w:tc>
          <w:tcPr>
            <w:tcW w:w="3543" w:type="dxa"/>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四</w:t>
            </w:r>
            <w:r>
              <w:rPr>
                <w:rFonts w:hint="eastAsia" w:ascii="宋体" w:hAnsi="宋体" w:eastAsia="宋体" w:cs="宋体"/>
                <w:color w:val="000000"/>
                <w:kern w:val="0"/>
                <w:sz w:val="18"/>
                <w:szCs w:val="18"/>
              </w:rPr>
              <w:t>、对附属单位补助支出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pStyle w:val="5"/>
              <w:ind w:left="360" w:hanging="360" w:hanging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五、附属单位上缴收入</w:t>
            </w:r>
          </w:p>
        </w:tc>
        <w:tc>
          <w:tcPr>
            <w:tcW w:w="3543" w:type="dxa"/>
            <w:noWrap w:val="0"/>
            <w:vAlign w:val="center"/>
          </w:tcPr>
          <w:p>
            <w:pPr>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五</w:t>
            </w:r>
            <w:r>
              <w:rPr>
                <w:rFonts w:hint="eastAsia" w:ascii="宋体" w:hAnsi="宋体" w:eastAsia="宋体" w:cs="宋体"/>
                <w:color w:val="000000"/>
                <w:kern w:val="0"/>
                <w:sz w:val="18"/>
                <w:szCs w:val="18"/>
              </w:rPr>
              <w:t>、上缴上级支出</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六、用事业基金弥补收支差额</w:t>
            </w:r>
          </w:p>
        </w:tc>
        <w:tc>
          <w:tcPr>
            <w:tcW w:w="3543" w:type="dxa"/>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六</w:t>
            </w:r>
            <w:r>
              <w:rPr>
                <w:rFonts w:hint="eastAsia" w:ascii="宋体" w:hAnsi="宋体" w:eastAsia="宋体" w:cs="宋体"/>
                <w:color w:val="000000"/>
                <w:kern w:val="0"/>
                <w:sz w:val="18"/>
                <w:szCs w:val="18"/>
              </w:rPr>
              <w:t>、结转下年</w:t>
            </w:r>
          </w:p>
        </w:tc>
        <w:tc>
          <w:tcPr>
            <w:tcW w:w="3544" w:type="dxa"/>
            <w:noWrap w:val="0"/>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收入总计</w:t>
            </w:r>
          </w:p>
        </w:tc>
        <w:tc>
          <w:tcPr>
            <w:tcW w:w="3543" w:type="dxa"/>
            <w:noWrap w:val="0"/>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181.06</w:t>
            </w:r>
          </w:p>
        </w:tc>
        <w:tc>
          <w:tcPr>
            <w:tcW w:w="3544" w:type="dxa"/>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支出总计</w:t>
            </w:r>
          </w:p>
        </w:tc>
        <w:tc>
          <w:tcPr>
            <w:tcW w:w="3544" w:type="dxa"/>
            <w:noWrap w:val="0"/>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181.06</w:t>
            </w:r>
          </w:p>
        </w:tc>
      </w:tr>
      <w:bookmarkEnd w:id="10"/>
    </w:tbl>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注：</w:t>
      </w:r>
      <w:bookmarkStart w:id="12" w:name="PO_part2Table1Remark1"/>
      <w:r>
        <w:rPr>
          <w:rFonts w:hint="eastAsia" w:ascii="宋体" w:hAnsi="宋体" w:cs="宋体"/>
          <w:color w:val="000000"/>
          <w:kern w:val="0"/>
          <w:sz w:val="18"/>
          <w:szCs w:val="18"/>
          <w:lang w:bidi="ar"/>
        </w:rPr>
        <w:t xml:space="preserve"> 财政拨款收支情况包括一般公共预算、政府性基金预算、国有资本经营预算拨款收支情况。 </w:t>
      </w:r>
      <w:bookmarkEnd w:id="12"/>
    </w:p>
    <w:p>
      <w:pPr>
        <w:sectPr>
          <w:pgSz w:w="16838" w:h="11906" w:orient="landscape"/>
          <w:pgMar w:top="1800" w:right="1440" w:bottom="1800" w:left="1440" w:header="851" w:footer="992" w:gutter="0"/>
          <w:cols w:space="720" w:num="1"/>
          <w:docGrid w:type="lines" w:linePitch="312" w:charSpace="0"/>
        </w:sectPr>
      </w:pPr>
    </w:p>
    <w:p>
      <w:pPr>
        <w:rPr>
          <w:rFonts w:hint="eastAsia"/>
        </w:rPr>
      </w:pPr>
      <w:bookmarkStart w:id="13" w:name="PO_part2Table2"/>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662"/>
        <w:gridCol w:w="1196"/>
        <w:gridCol w:w="949"/>
        <w:gridCol w:w="939"/>
        <w:gridCol w:w="1025"/>
        <w:gridCol w:w="982"/>
        <w:gridCol w:w="894"/>
        <w:gridCol w:w="982"/>
        <w:gridCol w:w="949"/>
        <w:gridCol w:w="949"/>
        <w:gridCol w:w="939"/>
        <w:gridCol w:w="894"/>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475" w:type="dxa"/>
            <w:gridSpan w:val="11"/>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14" w:name="PO_part2Table2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中山市南朗街道卫生监督所</w:t>
            </w:r>
            <w:r>
              <w:rPr>
                <w:rFonts w:hint="eastAsia" w:ascii="宋体" w:hAnsi="宋体"/>
                <w:color w:val="000000"/>
                <w:kern w:val="0"/>
                <w:sz w:val="18"/>
                <w:szCs w:val="18"/>
              </w:rPr>
              <w:t xml:space="preserve"> </w:t>
            </w:r>
            <w:bookmarkEnd w:id="14"/>
          </w:p>
        </w:tc>
        <w:tc>
          <w:tcPr>
            <w:tcW w:w="2700" w:type="dxa"/>
            <w:gridSpan w:val="3"/>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610" w:type="dxa"/>
            <w:gridSpan w:val="2"/>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1196" w:type="dxa"/>
            <w:vMerge w:val="restart"/>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合计</w:t>
            </w:r>
          </w:p>
        </w:tc>
        <w:tc>
          <w:tcPr>
            <w:tcW w:w="2913" w:type="dxa"/>
            <w:gridSpan w:val="3"/>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财政拨款收入</w:t>
            </w:r>
          </w:p>
        </w:tc>
        <w:tc>
          <w:tcPr>
            <w:tcW w:w="1876" w:type="dxa"/>
            <w:gridSpan w:val="2"/>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财政专户拨款收入</w:t>
            </w:r>
          </w:p>
        </w:tc>
        <w:tc>
          <w:tcPr>
            <w:tcW w:w="2880" w:type="dxa"/>
            <w:gridSpan w:val="3"/>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其他资金收入</w:t>
            </w:r>
          </w:p>
        </w:tc>
        <w:tc>
          <w:tcPr>
            <w:tcW w:w="939"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上级补助收入</w:t>
            </w:r>
          </w:p>
        </w:tc>
        <w:tc>
          <w:tcPr>
            <w:tcW w:w="894"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附属单位上缴收入</w:t>
            </w:r>
          </w:p>
        </w:tc>
        <w:tc>
          <w:tcPr>
            <w:tcW w:w="867"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用事业基金弥补收支差额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948"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166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1196" w:type="dxa"/>
            <w:vMerge w:val="continue"/>
            <w:noWrap w:val="0"/>
            <w:vAlign w:val="center"/>
          </w:tcPr>
          <w:p>
            <w:pPr>
              <w:jc w:val="center"/>
              <w:rPr>
                <w:rFonts w:hint="eastAsia"/>
                <w:sz w:val="18"/>
                <w:szCs w:val="18"/>
              </w:rPr>
            </w:pPr>
          </w:p>
        </w:tc>
        <w:tc>
          <w:tcPr>
            <w:tcW w:w="94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一般公共预算</w:t>
            </w:r>
          </w:p>
        </w:tc>
        <w:tc>
          <w:tcPr>
            <w:tcW w:w="93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政府性基金预算</w:t>
            </w:r>
          </w:p>
        </w:tc>
        <w:tc>
          <w:tcPr>
            <w:tcW w:w="102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国有资本经营预算</w:t>
            </w:r>
          </w:p>
        </w:tc>
        <w:tc>
          <w:tcPr>
            <w:tcW w:w="98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教育收费</w:t>
            </w:r>
          </w:p>
        </w:tc>
        <w:tc>
          <w:tcPr>
            <w:tcW w:w="89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其他专户收入拨款</w:t>
            </w:r>
          </w:p>
        </w:tc>
        <w:tc>
          <w:tcPr>
            <w:tcW w:w="98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事业收入</w:t>
            </w:r>
          </w:p>
        </w:tc>
        <w:tc>
          <w:tcPr>
            <w:tcW w:w="94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经营收入</w:t>
            </w:r>
          </w:p>
        </w:tc>
        <w:tc>
          <w:tcPr>
            <w:tcW w:w="94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其他收入</w:t>
            </w:r>
          </w:p>
        </w:tc>
        <w:tc>
          <w:tcPr>
            <w:tcW w:w="939" w:type="dxa"/>
            <w:vMerge w:val="continue"/>
            <w:noWrap w:val="0"/>
            <w:vAlign w:val="center"/>
          </w:tcPr>
          <w:p>
            <w:pPr>
              <w:jc w:val="center"/>
              <w:rPr>
                <w:rFonts w:hint="eastAsia"/>
                <w:sz w:val="18"/>
                <w:szCs w:val="18"/>
              </w:rPr>
            </w:pPr>
          </w:p>
        </w:tc>
        <w:tc>
          <w:tcPr>
            <w:tcW w:w="894" w:type="dxa"/>
            <w:vMerge w:val="continue"/>
            <w:noWrap w:val="0"/>
            <w:vAlign w:val="center"/>
          </w:tcPr>
          <w:p>
            <w:pPr>
              <w:jc w:val="center"/>
              <w:rPr>
                <w:rFonts w:hint="eastAsia"/>
                <w:sz w:val="18"/>
                <w:szCs w:val="18"/>
              </w:rPr>
            </w:pPr>
          </w:p>
        </w:tc>
        <w:tc>
          <w:tcPr>
            <w:tcW w:w="867" w:type="dxa"/>
            <w:vMerge w:val="continue"/>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noWrap w:val="0"/>
            <w:vAlign w:val="top"/>
          </w:tcPr>
          <w:p>
            <w:pPr>
              <w:rPr>
                <w:rFonts w:hint="eastAsia"/>
                <w:sz w:val="18"/>
                <w:szCs w:val="18"/>
              </w:rPr>
            </w:pPr>
          </w:p>
        </w:tc>
        <w:tc>
          <w:tcPr>
            <w:tcW w:w="1662" w:type="dxa"/>
            <w:noWrap w:val="0"/>
            <w:vAlign w:val="center"/>
          </w:tcPr>
          <w:p>
            <w:pPr>
              <w:jc w:val="center"/>
              <w:rPr>
                <w:rFonts w:hint="eastAsia"/>
                <w:sz w:val="18"/>
                <w:szCs w:val="18"/>
              </w:rPr>
            </w:pPr>
            <w:r>
              <w:rPr>
                <w:rFonts w:hint="eastAsia" w:ascii="宋体" w:hAnsi="宋体"/>
                <w:color w:val="000000"/>
                <w:kern w:val="0"/>
                <w:sz w:val="18"/>
                <w:szCs w:val="18"/>
              </w:rPr>
              <w:t>合计</w:t>
            </w:r>
          </w:p>
        </w:tc>
        <w:tc>
          <w:tcPr>
            <w:tcW w:w="1196"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181.06</w:t>
            </w:r>
          </w:p>
        </w:tc>
        <w:tc>
          <w:tcPr>
            <w:tcW w:w="949"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181.06</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1025"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867"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201</w:t>
            </w:r>
          </w:p>
        </w:tc>
        <w:tc>
          <w:tcPr>
            <w:tcW w:w="1662" w:type="dxa"/>
            <w:noWrap w:val="0"/>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一般公共服务支出</w:t>
            </w:r>
          </w:p>
        </w:tc>
        <w:tc>
          <w:tcPr>
            <w:tcW w:w="1196" w:type="dxa"/>
            <w:noWrap w:val="0"/>
            <w:vAlign w:val="center"/>
          </w:tcPr>
          <w:p>
            <w:pPr>
              <w:jc w:val="center"/>
              <w:rPr>
                <w:rFonts w:hint="default" w:eastAsia="宋体"/>
                <w:sz w:val="18"/>
                <w:szCs w:val="18"/>
                <w:lang w:val="en-US" w:eastAsia="zh-CN"/>
              </w:rPr>
            </w:pPr>
            <w:r>
              <w:rPr>
                <w:rFonts w:hint="eastAsia"/>
                <w:sz w:val="18"/>
                <w:szCs w:val="18"/>
                <w:lang w:val="en-US" w:eastAsia="zh-CN"/>
              </w:rPr>
              <w:t>181.06</w:t>
            </w:r>
          </w:p>
        </w:tc>
        <w:tc>
          <w:tcPr>
            <w:tcW w:w="949"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181.06</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1025"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982"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49" w:type="dxa"/>
            <w:noWrap w:val="0"/>
            <w:vAlign w:val="center"/>
          </w:tcPr>
          <w:p>
            <w:pPr>
              <w:jc w:val="right"/>
              <w:rPr>
                <w:sz w:val="18"/>
                <w:szCs w:val="18"/>
              </w:rPr>
            </w:pPr>
            <w:r>
              <w:rPr>
                <w:rFonts w:hint="eastAsia" w:ascii="宋体" w:hAnsi="宋体"/>
                <w:color w:val="000000"/>
                <w:sz w:val="18"/>
                <w:szCs w:val="18"/>
              </w:rPr>
              <w:t>0.00</w:t>
            </w:r>
          </w:p>
        </w:tc>
        <w:tc>
          <w:tcPr>
            <w:tcW w:w="939" w:type="dxa"/>
            <w:noWrap w:val="0"/>
            <w:vAlign w:val="center"/>
          </w:tcPr>
          <w:p>
            <w:pPr>
              <w:jc w:val="right"/>
              <w:rPr>
                <w:sz w:val="18"/>
                <w:szCs w:val="18"/>
              </w:rPr>
            </w:pPr>
            <w:r>
              <w:rPr>
                <w:rFonts w:hint="eastAsia" w:ascii="宋体" w:hAnsi="宋体"/>
                <w:color w:val="000000"/>
                <w:sz w:val="18"/>
                <w:szCs w:val="18"/>
              </w:rPr>
              <w:t>0.00</w:t>
            </w:r>
          </w:p>
        </w:tc>
        <w:tc>
          <w:tcPr>
            <w:tcW w:w="894" w:type="dxa"/>
            <w:noWrap w:val="0"/>
            <w:vAlign w:val="center"/>
          </w:tcPr>
          <w:p>
            <w:pPr>
              <w:jc w:val="right"/>
              <w:rPr>
                <w:sz w:val="18"/>
                <w:szCs w:val="18"/>
              </w:rPr>
            </w:pPr>
            <w:r>
              <w:rPr>
                <w:rFonts w:hint="eastAsia" w:ascii="宋体" w:hAnsi="宋体"/>
                <w:color w:val="000000"/>
                <w:sz w:val="18"/>
                <w:szCs w:val="18"/>
              </w:rPr>
              <w:t>0.00</w:t>
            </w:r>
          </w:p>
        </w:tc>
        <w:tc>
          <w:tcPr>
            <w:tcW w:w="867" w:type="dxa"/>
            <w:noWrap w:val="0"/>
            <w:vAlign w:val="center"/>
          </w:tcPr>
          <w:p>
            <w:pPr>
              <w:jc w:val="right"/>
              <w:rPr>
                <w:sz w:val="18"/>
                <w:szCs w:val="18"/>
              </w:rPr>
            </w:pPr>
            <w:r>
              <w:rPr>
                <w:rFonts w:hint="eastAsia" w:ascii="宋体" w:hAnsi="宋体"/>
                <w:color w:val="000000"/>
                <w:sz w:val="18"/>
                <w:szCs w:val="18"/>
              </w:rPr>
              <w:t>0.00</w:t>
            </w:r>
          </w:p>
        </w:tc>
      </w:tr>
      <w:bookmarkEnd w:id="13"/>
    </w:tbl>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5" w:name="PO_part1remark2"/>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15"/>
    </w:p>
    <w:p>
      <w:pPr>
        <w:rPr>
          <w:rFonts w:hint="eastAsia"/>
        </w:rPr>
      </w:pPr>
      <w:bookmarkStart w:id="16" w:name="PO_part2Table3"/>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2625"/>
        <w:gridCol w:w="1365"/>
        <w:gridCol w:w="1155"/>
        <w:gridCol w:w="1257"/>
        <w:gridCol w:w="1575"/>
        <w:gridCol w:w="1575"/>
        <w:gridCol w:w="15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4175" w:type="dxa"/>
            <w:gridSpan w:val="9"/>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4175" w:type="dxa"/>
            <w:gridSpan w:val="9"/>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2600" w:type="dxa"/>
            <w:gridSpan w:val="8"/>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17" w:name="PO_part2Table3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中山市南朗街道卫生监督所</w:t>
            </w:r>
            <w:r>
              <w:rPr>
                <w:rFonts w:hint="eastAsia" w:ascii="宋体" w:hAnsi="宋体"/>
                <w:color w:val="000000"/>
                <w:kern w:val="0"/>
                <w:sz w:val="18"/>
                <w:szCs w:val="18"/>
              </w:rPr>
              <w:t xml:space="preserve"> </w:t>
            </w:r>
            <w:bookmarkEnd w:id="17"/>
          </w:p>
        </w:tc>
        <w:tc>
          <w:tcPr>
            <w:tcW w:w="157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4098" w:type="dxa"/>
            <w:gridSpan w:val="2"/>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136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115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基本支出</w:t>
            </w:r>
          </w:p>
        </w:tc>
        <w:tc>
          <w:tcPr>
            <w:tcW w:w="1257"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事业单位经营支出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对附属单位补助支出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上缴上级支出</w:t>
            </w:r>
          </w:p>
        </w:tc>
        <w:tc>
          <w:tcPr>
            <w:tcW w:w="15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结转下年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473"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262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1365" w:type="dxa"/>
            <w:vMerge w:val="continue"/>
            <w:noWrap w:val="0"/>
            <w:vAlign w:val="center"/>
          </w:tcPr>
          <w:p>
            <w:pPr>
              <w:jc w:val="center"/>
              <w:rPr>
                <w:rFonts w:hint="eastAsia"/>
                <w:sz w:val="18"/>
                <w:szCs w:val="18"/>
              </w:rPr>
            </w:pPr>
          </w:p>
        </w:tc>
        <w:tc>
          <w:tcPr>
            <w:tcW w:w="1155" w:type="dxa"/>
            <w:vMerge w:val="continue"/>
            <w:noWrap w:val="0"/>
            <w:vAlign w:val="center"/>
          </w:tcPr>
          <w:p>
            <w:pPr>
              <w:jc w:val="center"/>
              <w:rPr>
                <w:rFonts w:hint="eastAsia"/>
                <w:sz w:val="18"/>
                <w:szCs w:val="18"/>
              </w:rPr>
            </w:pPr>
          </w:p>
        </w:tc>
        <w:tc>
          <w:tcPr>
            <w:tcW w:w="1257" w:type="dxa"/>
            <w:vMerge w:val="continue"/>
            <w:noWrap w:val="0"/>
            <w:vAlign w:val="center"/>
          </w:tcPr>
          <w:p>
            <w:pPr>
              <w:jc w:val="center"/>
              <w:rPr>
                <w:rFonts w:hint="eastAsia"/>
                <w:sz w:val="18"/>
                <w:szCs w:val="18"/>
              </w:rPr>
            </w:pPr>
          </w:p>
        </w:tc>
        <w:tc>
          <w:tcPr>
            <w:tcW w:w="1575" w:type="dxa"/>
            <w:vMerge w:val="continue"/>
            <w:noWrap w:val="0"/>
            <w:vAlign w:val="center"/>
          </w:tcPr>
          <w:p>
            <w:pPr>
              <w:jc w:val="center"/>
              <w:rPr>
                <w:rFonts w:hint="eastAsia"/>
                <w:sz w:val="18"/>
                <w:szCs w:val="18"/>
              </w:rPr>
            </w:pPr>
          </w:p>
        </w:tc>
        <w:tc>
          <w:tcPr>
            <w:tcW w:w="1575" w:type="dxa"/>
            <w:vMerge w:val="continue"/>
            <w:noWrap w:val="0"/>
            <w:vAlign w:val="center"/>
          </w:tcPr>
          <w:p>
            <w:pPr>
              <w:jc w:val="center"/>
              <w:rPr>
                <w:rFonts w:hint="eastAsia"/>
                <w:sz w:val="18"/>
                <w:szCs w:val="18"/>
              </w:rPr>
            </w:pPr>
          </w:p>
        </w:tc>
        <w:tc>
          <w:tcPr>
            <w:tcW w:w="1575" w:type="dxa"/>
            <w:vMerge w:val="continue"/>
            <w:noWrap w:val="0"/>
            <w:vAlign w:val="center"/>
          </w:tcPr>
          <w:p>
            <w:pPr>
              <w:jc w:val="center"/>
              <w:rPr>
                <w:rFonts w:hint="eastAsia"/>
                <w:sz w:val="18"/>
                <w:szCs w:val="18"/>
              </w:rPr>
            </w:pPr>
          </w:p>
        </w:tc>
        <w:tc>
          <w:tcPr>
            <w:tcW w:w="1575" w:type="dxa"/>
            <w:vMerge w:val="continue"/>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noWrap w:val="0"/>
            <w:vAlign w:val="top"/>
          </w:tcPr>
          <w:p>
            <w:pPr>
              <w:rPr>
                <w:rFonts w:hint="eastAsia"/>
                <w:sz w:val="18"/>
                <w:szCs w:val="18"/>
              </w:rPr>
            </w:pPr>
          </w:p>
        </w:tc>
        <w:tc>
          <w:tcPr>
            <w:tcW w:w="262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1365"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181.06</w:t>
            </w:r>
          </w:p>
        </w:tc>
        <w:tc>
          <w:tcPr>
            <w:tcW w:w="1155" w:type="dxa"/>
            <w:noWrap w:val="0"/>
            <w:vAlign w:val="center"/>
          </w:tcPr>
          <w:p>
            <w:pPr>
              <w:jc w:val="center"/>
              <w:rPr>
                <w:rFonts w:hint="default" w:eastAsia="宋体"/>
                <w:sz w:val="18"/>
                <w:szCs w:val="18"/>
                <w:lang w:val="en-US" w:eastAsia="zh-CN"/>
              </w:rPr>
            </w:pPr>
            <w:r>
              <w:rPr>
                <w:rFonts w:hint="eastAsia"/>
                <w:sz w:val="18"/>
                <w:szCs w:val="18"/>
                <w:lang w:val="en-US" w:eastAsia="zh-CN"/>
              </w:rPr>
              <w:t>177.21</w:t>
            </w:r>
          </w:p>
        </w:tc>
        <w:tc>
          <w:tcPr>
            <w:tcW w:w="1257"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3.85</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201</w:t>
            </w:r>
          </w:p>
        </w:tc>
        <w:tc>
          <w:tcPr>
            <w:tcW w:w="2625" w:type="dxa"/>
            <w:noWrap w:val="0"/>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一般公共服务支出</w:t>
            </w:r>
          </w:p>
        </w:tc>
        <w:tc>
          <w:tcPr>
            <w:tcW w:w="1365"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181.06</w:t>
            </w:r>
          </w:p>
        </w:tc>
        <w:tc>
          <w:tcPr>
            <w:tcW w:w="1155"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177.21</w:t>
            </w:r>
          </w:p>
        </w:tc>
        <w:tc>
          <w:tcPr>
            <w:tcW w:w="1257"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3.85</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c>
          <w:tcPr>
            <w:tcW w:w="1575" w:type="dxa"/>
            <w:noWrap w:val="0"/>
            <w:vAlign w:val="center"/>
          </w:tcPr>
          <w:p>
            <w:pPr>
              <w:jc w:val="right"/>
              <w:rPr>
                <w:sz w:val="18"/>
                <w:szCs w:val="18"/>
              </w:rPr>
            </w:pPr>
            <w:r>
              <w:rPr>
                <w:rFonts w:hint="eastAsia" w:ascii="宋体" w:hAnsi="宋体"/>
                <w:color w:val="000000"/>
                <w:sz w:val="18"/>
                <w:szCs w:val="18"/>
              </w:rPr>
              <w:t>0.00</w:t>
            </w:r>
          </w:p>
        </w:tc>
      </w:tr>
      <w:bookmarkEnd w:id="16"/>
    </w:tbl>
    <w:p>
      <w:pPr>
        <w:rPr>
          <w:rFonts w:hint="eastAsia"/>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8" w:name="PO_part2Table1Remark3"/>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18"/>
    </w:p>
    <w:p>
      <w:pPr>
        <w:rPr>
          <w:rFonts w:hint="eastAsia"/>
        </w:rPr>
      </w:pPr>
      <w:bookmarkStart w:id="19" w:name="PO_part2Table4"/>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财政拨款收支总体情况表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0631" w:type="dxa"/>
            <w:gridSpan w:val="3"/>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20" w:name="PO_part2Table4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中山市南朗街道卫生监督所</w:t>
            </w:r>
            <w:r>
              <w:rPr>
                <w:rFonts w:hint="eastAsia" w:ascii="宋体" w:hAnsi="宋体"/>
                <w:color w:val="000000"/>
                <w:kern w:val="0"/>
                <w:sz w:val="18"/>
                <w:szCs w:val="18"/>
              </w:rPr>
              <w:t xml:space="preserve"> </w:t>
            </w:r>
            <w:bookmarkEnd w:id="20"/>
          </w:p>
        </w:tc>
        <w:tc>
          <w:tcPr>
            <w:tcW w:w="3544"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0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收        入</w:t>
            </w:r>
          </w:p>
        </w:tc>
        <w:tc>
          <w:tcPr>
            <w:tcW w:w="70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tcBorders>
              <w:top w:val="single" w:color="auto" w:sz="4" w:space="0"/>
            </w:tcBorders>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一、一般公共预算</w:t>
            </w:r>
          </w:p>
        </w:tc>
        <w:tc>
          <w:tcPr>
            <w:tcW w:w="3543" w:type="dxa"/>
            <w:tcBorders>
              <w:top w:val="single" w:color="auto" w:sz="4" w:space="0"/>
            </w:tcBorders>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181.06</w:t>
            </w:r>
          </w:p>
        </w:tc>
        <w:tc>
          <w:tcPr>
            <w:tcW w:w="3544" w:type="dxa"/>
            <w:tcBorders>
              <w:top w:val="single" w:color="auto" w:sz="4" w:space="0"/>
            </w:tcBorders>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一、一般公共服务支出</w:t>
            </w:r>
          </w:p>
        </w:tc>
        <w:tc>
          <w:tcPr>
            <w:tcW w:w="3544" w:type="dxa"/>
            <w:tcBorders>
              <w:top w:val="single" w:color="auto" w:sz="4" w:space="0"/>
            </w:tcBorders>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二、政府性基金预算</w:t>
            </w:r>
          </w:p>
        </w:tc>
        <w:tc>
          <w:tcPr>
            <w:tcW w:w="3543" w:type="dxa"/>
            <w:noWrap w:val="0"/>
            <w:vAlign w:val="center"/>
          </w:tcPr>
          <w:p>
            <w:pPr>
              <w:jc w:val="right"/>
              <w:rPr>
                <w:sz w:val="18"/>
                <w:szCs w:val="18"/>
              </w:rPr>
            </w:pPr>
            <w:r>
              <w:rPr>
                <w:rFonts w:hint="eastAsia" w:ascii="宋体" w:hAnsi="宋体"/>
                <w:color w:val="000000"/>
                <w:sz w:val="18"/>
                <w:szCs w:val="18"/>
              </w:rPr>
              <w:t>0.00</w:t>
            </w: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二、外交支出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三、国有资本经营预算</w:t>
            </w:r>
          </w:p>
        </w:tc>
        <w:tc>
          <w:tcPr>
            <w:tcW w:w="3543" w:type="dxa"/>
            <w:noWrap w:val="0"/>
            <w:vAlign w:val="center"/>
          </w:tcPr>
          <w:p>
            <w:pPr>
              <w:jc w:val="right"/>
              <w:rPr>
                <w:sz w:val="18"/>
                <w:szCs w:val="18"/>
              </w:rPr>
            </w:pPr>
            <w:r>
              <w:rPr>
                <w:rFonts w:hint="eastAsia" w:ascii="宋体" w:hAnsi="宋体"/>
                <w:color w:val="000000"/>
                <w:sz w:val="18"/>
                <w:szCs w:val="18"/>
              </w:rPr>
              <w:t>0.00</w:t>
            </w: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三、国防支出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四、公共安全支出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五、教育支出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六、科学技术支出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七、文化旅游体育与传媒支出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八、社会保障和就业支出</w:t>
            </w:r>
          </w:p>
        </w:tc>
        <w:tc>
          <w:tcPr>
            <w:tcW w:w="3544"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九、卫生健康支出</w:t>
            </w:r>
          </w:p>
        </w:tc>
        <w:tc>
          <w:tcPr>
            <w:tcW w:w="3544"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155.62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十、节能环保支出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十一、城乡社区支出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十二、农林水支出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十三、交通运输支出</w:t>
            </w:r>
          </w:p>
        </w:tc>
        <w:tc>
          <w:tcPr>
            <w:tcW w:w="3544"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十四、资源勘探工业信息等支出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十五、商业服务业等支出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十六、金融支出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十七、援助其他地区支出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十八、自然资源海洋气象等支出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十九、住房保障支出</w:t>
            </w:r>
          </w:p>
        </w:tc>
        <w:tc>
          <w:tcPr>
            <w:tcW w:w="3544"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二十、粮油物资储备支出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一</w:t>
            </w:r>
            <w:r>
              <w:rPr>
                <w:rFonts w:hint="eastAsia" w:ascii="宋体" w:hAnsi="宋体"/>
                <w:color w:val="000000"/>
                <w:kern w:val="0"/>
                <w:sz w:val="18"/>
                <w:szCs w:val="18"/>
              </w:rPr>
              <w:t>、</w:t>
            </w:r>
            <w:r>
              <w:rPr>
                <w:rFonts w:hint="eastAsia" w:ascii="宋体" w:hAnsi="宋体"/>
                <w:color w:val="000000"/>
                <w:kern w:val="0"/>
                <w:sz w:val="18"/>
                <w:szCs w:val="18"/>
                <w:lang w:val="en-US" w:eastAsia="zh-CN"/>
              </w:rPr>
              <w:t>国有资本经营预算支出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二</w:t>
            </w:r>
            <w:r>
              <w:rPr>
                <w:rFonts w:hint="eastAsia" w:ascii="宋体" w:hAnsi="宋体"/>
                <w:color w:val="000000"/>
                <w:kern w:val="0"/>
                <w:sz w:val="18"/>
                <w:szCs w:val="18"/>
              </w:rPr>
              <w:t>、灾害防治及应急管理支出</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三</w:t>
            </w:r>
            <w:r>
              <w:rPr>
                <w:rFonts w:hint="eastAsia" w:ascii="宋体" w:hAnsi="宋体"/>
                <w:color w:val="000000"/>
                <w:kern w:val="0"/>
                <w:sz w:val="18"/>
                <w:szCs w:val="18"/>
              </w:rPr>
              <w:t>、其他支出</w:t>
            </w:r>
          </w:p>
        </w:tc>
        <w:tc>
          <w:tcPr>
            <w:tcW w:w="3544"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本年收入合计</w:t>
            </w:r>
          </w:p>
        </w:tc>
        <w:tc>
          <w:tcPr>
            <w:tcW w:w="3543"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181.06</w:t>
            </w:r>
          </w:p>
        </w:tc>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本年支出合计</w:t>
            </w:r>
          </w:p>
        </w:tc>
        <w:tc>
          <w:tcPr>
            <w:tcW w:w="3544"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181.06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jc w:val="left"/>
              <w:rPr>
                <w:rFonts w:ascii="宋体" w:hAnsi="宋体"/>
                <w:color w:val="000000"/>
                <w:sz w:val="18"/>
                <w:szCs w:val="18"/>
              </w:rPr>
            </w:pPr>
          </w:p>
        </w:tc>
        <w:tc>
          <w:tcPr>
            <w:tcW w:w="3543" w:type="dxa"/>
            <w:noWrap w:val="0"/>
            <w:vAlign w:val="center"/>
          </w:tcPr>
          <w:p>
            <w:pPr>
              <w:jc w:val="right"/>
              <w:rPr>
                <w:rFonts w:ascii="宋体" w:hAnsi="宋体"/>
                <w:color w:val="000000"/>
                <w:sz w:val="18"/>
                <w:szCs w:val="18"/>
              </w:rPr>
            </w:pPr>
          </w:p>
        </w:tc>
        <w:tc>
          <w:tcPr>
            <w:tcW w:w="354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四</w:t>
            </w:r>
            <w:r>
              <w:rPr>
                <w:rFonts w:hint="eastAsia" w:ascii="宋体" w:hAnsi="宋体"/>
                <w:color w:val="000000"/>
                <w:kern w:val="0"/>
                <w:sz w:val="18"/>
                <w:szCs w:val="18"/>
              </w:rPr>
              <w:t>、结转下年</w:t>
            </w:r>
          </w:p>
        </w:tc>
        <w:tc>
          <w:tcPr>
            <w:tcW w:w="354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收入总计</w:t>
            </w:r>
          </w:p>
        </w:tc>
        <w:tc>
          <w:tcPr>
            <w:tcW w:w="3543"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181.06</w:t>
            </w:r>
          </w:p>
        </w:tc>
        <w:tc>
          <w:tcPr>
            <w:tcW w:w="354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支出总计</w:t>
            </w:r>
          </w:p>
        </w:tc>
        <w:tc>
          <w:tcPr>
            <w:tcW w:w="3544"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181.06</w:t>
            </w:r>
          </w:p>
        </w:tc>
      </w:tr>
      <w:bookmarkEnd w:id="19"/>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1" w:name="PO_part1remark4"/>
      <w:r>
        <w:rPr>
          <w:rFonts w:hint="eastAsia" w:ascii="宋体" w:hAnsi="宋体" w:cs="宋体"/>
          <w:color w:val="000000"/>
          <w:kern w:val="0"/>
          <w:sz w:val="18"/>
          <w:szCs w:val="18"/>
          <w:lang w:bidi="ar"/>
        </w:rPr>
        <w:t xml:space="preserve"> 表中功能分类科目，根据各部门实际预算编制情况编列。 </w:t>
      </w:r>
      <w:bookmarkEnd w:id="21"/>
    </w:p>
    <w:p>
      <w:pPr>
        <w:rPr>
          <w:rFonts w:hint="eastAsia"/>
        </w:rPr>
      </w:pPr>
      <w:bookmarkStart w:id="22" w:name="PO_part2Table5"/>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3199"/>
        <w:gridCol w:w="476"/>
        <w:gridCol w:w="2310"/>
        <w:gridCol w:w="4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14175" w:type="dxa"/>
            <w:gridSpan w:val="5"/>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14175" w:type="dxa"/>
            <w:gridSpan w:val="5"/>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一般公共预算支出情况表（按功能分类科目）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7087" w:type="dxa"/>
            <w:gridSpan w:val="2"/>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23" w:name="PO_part2Table5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中山市南朗街道卫生监所</w:t>
            </w:r>
            <w:r>
              <w:rPr>
                <w:rFonts w:hint="eastAsia" w:ascii="宋体" w:hAnsi="宋体"/>
                <w:color w:val="000000"/>
                <w:kern w:val="0"/>
                <w:sz w:val="18"/>
                <w:szCs w:val="18"/>
              </w:rPr>
              <w:t xml:space="preserve"> </w:t>
            </w:r>
            <w:bookmarkEnd w:id="23"/>
          </w:p>
        </w:tc>
        <w:tc>
          <w:tcPr>
            <w:tcW w:w="7088" w:type="dxa"/>
            <w:gridSpan w:val="3"/>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3888" w:type="dxa"/>
            <w:vMerge w:val="restart"/>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功能科目名称</w:t>
            </w:r>
          </w:p>
        </w:tc>
        <w:tc>
          <w:tcPr>
            <w:tcW w:w="10287" w:type="dxa"/>
            <w:gridSpan w:val="4"/>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一般公共预算支出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3888" w:type="dxa"/>
            <w:vMerge w:val="continue"/>
            <w:noWrap w:val="0"/>
            <w:vAlign w:val="center"/>
          </w:tcPr>
          <w:p>
            <w:pPr>
              <w:jc w:val="center"/>
              <w:rPr>
                <w:rFonts w:hint="eastAsia"/>
                <w:sz w:val="18"/>
                <w:szCs w:val="18"/>
              </w:rPr>
            </w:pPr>
          </w:p>
        </w:tc>
        <w:tc>
          <w:tcPr>
            <w:tcW w:w="3675" w:type="dxa"/>
            <w:gridSpan w:val="2"/>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310"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430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3675" w:type="dxa"/>
            <w:gridSpan w:val="2"/>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181.06</w:t>
            </w:r>
          </w:p>
        </w:tc>
        <w:tc>
          <w:tcPr>
            <w:tcW w:w="2310"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177.2</w:t>
            </w:r>
          </w:p>
        </w:tc>
        <w:tc>
          <w:tcPr>
            <w:tcW w:w="4302" w:type="dxa"/>
            <w:noWrap w:val="0"/>
            <w:vAlign w:val="center"/>
          </w:tcPr>
          <w:p>
            <w:pPr>
              <w:jc w:val="right"/>
              <w:rPr>
                <w:rFonts w:hint="default" w:ascii="宋体" w:hAnsi="宋体"/>
                <w:color w:val="000000"/>
                <w:sz w:val="18"/>
                <w:szCs w:val="18"/>
              </w:rPr>
            </w:pPr>
            <w:r>
              <w:rPr>
                <w:rFonts w:hint="default" w:ascii="宋体" w:hAnsi="宋体"/>
                <w:color w:val="000000"/>
                <w:sz w:val="18"/>
                <w:szCs w:val="18"/>
              </w:rPr>
              <w:t>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noWrap w:val="0"/>
            <w:vAlign w:val="center"/>
          </w:tcPr>
          <w:p>
            <w:pPr>
              <w:jc w:val="left"/>
              <w:rPr>
                <w:rFonts w:hint="eastAsia" w:ascii="宋体" w:hAnsi="宋体" w:eastAsia="宋体" w:cs="Times New Roman"/>
                <w:color w:val="000000"/>
                <w:sz w:val="18"/>
                <w:szCs w:val="18"/>
                <w:lang w:eastAsia="zh-CN"/>
              </w:rPr>
            </w:pPr>
            <w:r>
              <w:rPr>
                <w:rFonts w:hint="eastAsia" w:ascii="宋体" w:hAnsi="宋体" w:eastAsia="宋体" w:cs="Times New Roman"/>
                <w:color w:val="000000"/>
                <w:sz w:val="18"/>
                <w:szCs w:val="18"/>
              </w:rPr>
              <w:t>[</w:t>
            </w:r>
            <w:r>
              <w:rPr>
                <w:rFonts w:hint="eastAsia" w:ascii="宋体" w:hAnsi="宋体" w:eastAsia="宋体" w:cs="Times New Roman"/>
                <w:color w:val="000000"/>
                <w:sz w:val="18"/>
                <w:szCs w:val="18"/>
                <w:lang w:val="en-US" w:eastAsia="zh-CN"/>
              </w:rPr>
              <w:t>208</w:t>
            </w:r>
            <w:r>
              <w:rPr>
                <w:rFonts w:hint="eastAsia" w:ascii="宋体" w:hAnsi="宋体" w:eastAsia="宋体" w:cs="Times New Roman"/>
                <w:color w:val="000000"/>
                <w:sz w:val="18"/>
                <w:szCs w:val="18"/>
              </w:rPr>
              <w:t>]</w:t>
            </w:r>
            <w:r>
              <w:rPr>
                <w:rFonts w:hint="eastAsia" w:ascii="宋体" w:hAnsi="宋体" w:eastAsia="宋体" w:cs="Times New Roman"/>
                <w:color w:val="000000"/>
                <w:sz w:val="18"/>
                <w:szCs w:val="18"/>
                <w:lang w:eastAsia="zh-CN"/>
              </w:rPr>
              <w:t>社会保障就业支出</w:t>
            </w:r>
          </w:p>
        </w:tc>
        <w:tc>
          <w:tcPr>
            <w:tcW w:w="3675" w:type="dxa"/>
            <w:gridSpan w:val="2"/>
            <w:noWrap w:val="0"/>
            <w:vAlign w:val="center"/>
          </w:tcPr>
          <w:p>
            <w:pPr>
              <w:jc w:val="right"/>
              <w:rPr>
                <w:rFonts w:ascii="宋体" w:hAnsi="宋体"/>
                <w:color w:val="000000"/>
                <w:sz w:val="18"/>
                <w:szCs w:val="18"/>
              </w:rPr>
            </w:pPr>
            <w:r>
              <w:rPr>
                <w:rFonts w:hint="eastAsia" w:ascii="宋体" w:hAnsi="宋体"/>
                <w:color w:val="000000"/>
                <w:sz w:val="18"/>
                <w:szCs w:val="18"/>
                <w:lang w:val="en-US" w:eastAsia="zh-CN"/>
              </w:rPr>
              <w:t>13.83</w:t>
            </w:r>
          </w:p>
        </w:tc>
        <w:tc>
          <w:tcPr>
            <w:tcW w:w="2310"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13.83</w:t>
            </w:r>
          </w:p>
        </w:tc>
        <w:tc>
          <w:tcPr>
            <w:tcW w:w="4302"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noWrap w:val="0"/>
            <w:vAlign w:val="center"/>
          </w:tcPr>
          <w:p>
            <w:pPr>
              <w:ind w:firstLine="180" w:firstLineChars="100"/>
              <w:jc w:val="left"/>
              <w:rPr>
                <w:rFonts w:hint="eastAsia" w:ascii="宋体" w:hAnsi="宋体" w:eastAsia="宋体" w:cs="Times New Roman"/>
                <w:color w:val="000000"/>
                <w:sz w:val="18"/>
                <w:szCs w:val="18"/>
                <w:lang w:eastAsia="zh-CN"/>
              </w:rPr>
            </w:pPr>
            <w:r>
              <w:rPr>
                <w:rFonts w:hint="eastAsia" w:ascii="宋体" w:hAnsi="宋体" w:eastAsia="宋体" w:cs="Times New Roman"/>
                <w:color w:val="000000"/>
                <w:sz w:val="18"/>
                <w:szCs w:val="18"/>
              </w:rPr>
              <w:t>[</w:t>
            </w:r>
            <w:r>
              <w:rPr>
                <w:rFonts w:hint="eastAsia" w:ascii="宋体" w:hAnsi="宋体" w:eastAsia="宋体" w:cs="Times New Roman"/>
                <w:color w:val="000000"/>
                <w:sz w:val="18"/>
                <w:szCs w:val="18"/>
                <w:lang w:val="en-US" w:eastAsia="zh-CN"/>
              </w:rPr>
              <w:t>20805</w:t>
            </w:r>
            <w:r>
              <w:rPr>
                <w:rFonts w:hint="eastAsia" w:ascii="宋体" w:hAnsi="宋体" w:eastAsia="宋体" w:cs="Times New Roman"/>
                <w:color w:val="000000"/>
                <w:sz w:val="18"/>
                <w:szCs w:val="18"/>
              </w:rPr>
              <w:t>]</w:t>
            </w:r>
            <w:r>
              <w:rPr>
                <w:rFonts w:hint="eastAsia" w:ascii="宋体" w:hAnsi="宋体" w:eastAsia="宋体" w:cs="Times New Roman"/>
                <w:color w:val="000000"/>
                <w:sz w:val="18"/>
                <w:szCs w:val="18"/>
                <w:lang w:eastAsia="zh-CN"/>
              </w:rPr>
              <w:t>行政事业单位养老支出</w:t>
            </w:r>
          </w:p>
        </w:tc>
        <w:tc>
          <w:tcPr>
            <w:tcW w:w="3675" w:type="dxa"/>
            <w:gridSpan w:val="2"/>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13.83</w:t>
            </w:r>
          </w:p>
        </w:tc>
        <w:tc>
          <w:tcPr>
            <w:tcW w:w="2310"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13.83</w:t>
            </w:r>
          </w:p>
        </w:tc>
        <w:tc>
          <w:tcPr>
            <w:tcW w:w="4302"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noWrap w:val="0"/>
            <w:vAlign w:val="center"/>
          </w:tcPr>
          <w:p>
            <w:pPr>
              <w:ind w:firstLine="540" w:firstLineChars="300"/>
              <w:jc w:val="left"/>
              <w:rPr>
                <w:rFonts w:hint="eastAsia" w:ascii="宋体" w:hAnsi="宋体" w:eastAsia="宋体" w:cs="Times New Roman"/>
                <w:color w:val="000000"/>
                <w:sz w:val="18"/>
                <w:szCs w:val="18"/>
                <w:lang w:eastAsia="zh-CN"/>
              </w:rPr>
            </w:pPr>
            <w:r>
              <w:rPr>
                <w:rFonts w:hint="eastAsia" w:ascii="宋体" w:hAnsi="宋体" w:eastAsia="宋体" w:cs="Times New Roman"/>
                <w:color w:val="000000"/>
                <w:sz w:val="18"/>
                <w:szCs w:val="18"/>
              </w:rPr>
              <w:t>[</w:t>
            </w:r>
            <w:r>
              <w:rPr>
                <w:rFonts w:hint="eastAsia" w:ascii="宋体" w:hAnsi="宋体" w:eastAsia="宋体" w:cs="Times New Roman"/>
                <w:color w:val="000000"/>
                <w:sz w:val="18"/>
                <w:szCs w:val="18"/>
                <w:lang w:val="en-US" w:eastAsia="zh-CN"/>
              </w:rPr>
              <w:t>208050</w:t>
            </w:r>
            <w:r>
              <w:rPr>
                <w:rFonts w:hint="default" w:ascii="宋体" w:hAnsi="宋体" w:eastAsia="宋体" w:cs="Times New Roman"/>
                <w:color w:val="000000"/>
                <w:sz w:val="18"/>
                <w:szCs w:val="18"/>
                <w:lang w:eastAsia="zh-CN"/>
              </w:rPr>
              <w:t>5</w:t>
            </w:r>
            <w:r>
              <w:rPr>
                <w:rFonts w:hint="eastAsia" w:ascii="宋体" w:hAnsi="宋体" w:eastAsia="宋体" w:cs="Times New Roman"/>
                <w:color w:val="000000"/>
                <w:sz w:val="18"/>
                <w:szCs w:val="18"/>
              </w:rPr>
              <w:t>]</w:t>
            </w:r>
            <w:r>
              <w:rPr>
                <w:rFonts w:hint="eastAsia" w:ascii="宋体" w:hAnsi="宋体" w:eastAsia="宋体" w:cs="Times New Roman"/>
                <w:color w:val="000000"/>
                <w:sz w:val="18"/>
                <w:szCs w:val="18"/>
                <w:lang w:eastAsia="zh-CN"/>
              </w:rPr>
              <w:t>机关事业单位养老保险缴费支出</w:t>
            </w:r>
          </w:p>
        </w:tc>
        <w:tc>
          <w:tcPr>
            <w:tcW w:w="3675" w:type="dxa"/>
            <w:gridSpan w:val="2"/>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9.22</w:t>
            </w:r>
          </w:p>
        </w:tc>
        <w:tc>
          <w:tcPr>
            <w:tcW w:w="2310" w:type="dxa"/>
            <w:noWrap w:val="0"/>
            <w:vAlign w:val="center"/>
          </w:tcPr>
          <w:p>
            <w:pPr>
              <w:jc w:val="right"/>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9.22</w:t>
            </w:r>
          </w:p>
        </w:tc>
        <w:tc>
          <w:tcPr>
            <w:tcW w:w="4302"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noWrap w:val="0"/>
            <w:vAlign w:val="center"/>
          </w:tcPr>
          <w:p>
            <w:pPr>
              <w:widowControl/>
              <w:ind w:firstLine="540" w:firstLineChars="300"/>
              <w:textAlignment w:val="center"/>
              <w:rPr>
                <w:rFonts w:hint="default" w:ascii="宋体" w:hAnsi="宋体"/>
                <w:color w:val="000000"/>
                <w:kern w:val="0"/>
                <w:sz w:val="18"/>
                <w:szCs w:val="18"/>
              </w:rPr>
            </w:pPr>
            <w:r>
              <w:rPr>
                <w:rFonts w:hint="eastAsia" w:ascii="宋体" w:hAnsi="宋体" w:eastAsia="宋体" w:cs="Times New Roman"/>
                <w:color w:val="000000"/>
                <w:sz w:val="18"/>
                <w:szCs w:val="18"/>
              </w:rPr>
              <w:t>[</w:t>
            </w:r>
            <w:r>
              <w:rPr>
                <w:rFonts w:hint="eastAsia" w:ascii="宋体" w:hAnsi="宋体" w:eastAsia="宋体" w:cs="Times New Roman"/>
                <w:color w:val="000000"/>
                <w:sz w:val="18"/>
                <w:szCs w:val="18"/>
                <w:lang w:val="en-US" w:eastAsia="zh-CN"/>
              </w:rPr>
              <w:t>208050</w:t>
            </w:r>
            <w:r>
              <w:rPr>
                <w:rFonts w:hint="default" w:ascii="宋体" w:hAnsi="宋体" w:eastAsia="宋体" w:cs="Times New Roman"/>
                <w:color w:val="000000"/>
                <w:sz w:val="18"/>
                <w:szCs w:val="18"/>
                <w:lang w:eastAsia="zh-CN"/>
              </w:rPr>
              <w:t>6</w:t>
            </w:r>
            <w:r>
              <w:rPr>
                <w:rFonts w:hint="eastAsia" w:ascii="宋体" w:hAnsi="宋体" w:eastAsia="宋体" w:cs="Times New Roman"/>
                <w:color w:val="000000"/>
                <w:sz w:val="18"/>
                <w:szCs w:val="18"/>
              </w:rPr>
              <w:t>]</w:t>
            </w:r>
            <w:r>
              <w:rPr>
                <w:rFonts w:hint="eastAsia" w:ascii="宋体" w:hAnsi="宋体" w:eastAsia="宋体" w:cs="Times New Roman"/>
                <w:color w:val="000000"/>
                <w:sz w:val="18"/>
                <w:szCs w:val="18"/>
                <w:lang w:eastAsia="zh-CN"/>
              </w:rPr>
              <w:t>机关事业单位</w:t>
            </w:r>
            <w:r>
              <w:rPr>
                <w:rFonts w:hint="default" w:ascii="宋体" w:hAnsi="宋体" w:eastAsia="宋体" w:cs="Times New Roman"/>
                <w:color w:val="000000"/>
                <w:sz w:val="18"/>
                <w:szCs w:val="18"/>
                <w:lang w:eastAsia="zh-CN"/>
              </w:rPr>
              <w:t>职业年金缴费支出</w:t>
            </w:r>
          </w:p>
        </w:tc>
        <w:tc>
          <w:tcPr>
            <w:tcW w:w="3675" w:type="dxa"/>
            <w:gridSpan w:val="2"/>
            <w:noWrap w:val="0"/>
            <w:vAlign w:val="center"/>
          </w:tcPr>
          <w:p>
            <w:pPr>
              <w:widowControl/>
              <w:jc w:val="right"/>
              <w:textAlignment w:val="center"/>
              <w:rPr>
                <w:rFonts w:hint="default" w:ascii="宋体" w:hAnsi="宋体"/>
                <w:color w:val="000000"/>
                <w:kern w:val="0"/>
                <w:sz w:val="18"/>
                <w:szCs w:val="18"/>
              </w:rPr>
            </w:pPr>
            <w:r>
              <w:rPr>
                <w:rFonts w:ascii="宋体" w:hAnsi="宋体"/>
                <w:color w:val="000000"/>
                <w:kern w:val="0"/>
                <w:sz w:val="18"/>
                <w:szCs w:val="18"/>
              </w:rPr>
              <w:t>4.61</w:t>
            </w:r>
          </w:p>
        </w:tc>
        <w:tc>
          <w:tcPr>
            <w:tcW w:w="2310" w:type="dxa"/>
            <w:noWrap w:val="0"/>
            <w:vAlign w:val="center"/>
          </w:tcPr>
          <w:p>
            <w:pPr>
              <w:widowControl/>
              <w:jc w:val="right"/>
              <w:textAlignment w:val="center"/>
              <w:rPr>
                <w:rFonts w:hint="default" w:ascii="宋体" w:hAnsi="宋体"/>
                <w:color w:val="000000"/>
                <w:kern w:val="0"/>
                <w:sz w:val="18"/>
                <w:szCs w:val="18"/>
              </w:rPr>
            </w:pPr>
            <w:r>
              <w:rPr>
                <w:rFonts w:ascii="宋体" w:hAnsi="宋体"/>
                <w:color w:val="000000"/>
                <w:kern w:val="0"/>
                <w:sz w:val="18"/>
                <w:szCs w:val="18"/>
              </w:rPr>
              <w:t>4.61</w:t>
            </w:r>
          </w:p>
        </w:tc>
        <w:tc>
          <w:tcPr>
            <w:tcW w:w="4302" w:type="dxa"/>
            <w:noWrap w:val="0"/>
            <w:vAlign w:val="center"/>
          </w:tcPr>
          <w:p>
            <w:pPr>
              <w:widowControl/>
              <w:jc w:val="right"/>
              <w:textAlignment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noWrap w:val="0"/>
            <w:vAlign w:val="center"/>
          </w:tcPr>
          <w:p>
            <w:pPr>
              <w:widowControl/>
              <w:jc w:val="left"/>
              <w:textAlignment w:val="center"/>
              <w:rPr>
                <w:rFonts w:hint="default" w:ascii="宋体" w:hAnsi="宋体" w:eastAsia="宋体" w:cs="Times New Roman"/>
                <w:color w:val="000000"/>
                <w:sz w:val="18"/>
                <w:szCs w:val="18"/>
              </w:rPr>
            </w:pPr>
            <w:r>
              <w:rPr>
                <w:rFonts w:hint="eastAsia" w:ascii="宋体" w:hAnsi="宋体" w:eastAsia="宋体" w:cs="Times New Roman"/>
                <w:color w:val="000000"/>
                <w:sz w:val="18"/>
                <w:szCs w:val="18"/>
              </w:rPr>
              <w:t>[</w:t>
            </w:r>
            <w:r>
              <w:rPr>
                <w:rFonts w:hint="eastAsia" w:ascii="宋体" w:hAnsi="宋体" w:eastAsia="宋体" w:cs="Times New Roman"/>
                <w:color w:val="000000"/>
                <w:sz w:val="18"/>
                <w:szCs w:val="18"/>
                <w:lang w:val="en-US" w:eastAsia="zh-CN"/>
              </w:rPr>
              <w:t>2</w:t>
            </w:r>
            <w:r>
              <w:rPr>
                <w:rFonts w:hint="default" w:ascii="宋体" w:hAnsi="宋体" w:eastAsia="宋体" w:cs="Times New Roman"/>
                <w:color w:val="000000"/>
                <w:sz w:val="18"/>
                <w:szCs w:val="18"/>
                <w:lang w:eastAsia="zh-CN"/>
              </w:rPr>
              <w:t>10</w:t>
            </w:r>
            <w:r>
              <w:rPr>
                <w:rFonts w:hint="eastAsia" w:ascii="宋体" w:hAnsi="宋体" w:eastAsia="宋体" w:cs="Times New Roman"/>
                <w:color w:val="000000"/>
                <w:sz w:val="18"/>
                <w:szCs w:val="18"/>
              </w:rPr>
              <w:t>]</w:t>
            </w:r>
            <w:r>
              <w:rPr>
                <w:rFonts w:hint="default" w:ascii="宋体" w:hAnsi="宋体" w:eastAsia="宋体" w:cs="Times New Roman"/>
                <w:color w:val="000000"/>
                <w:sz w:val="18"/>
                <w:szCs w:val="18"/>
                <w:lang w:eastAsia="zh-CN"/>
              </w:rPr>
              <w:t>卫生健康支出</w:t>
            </w:r>
          </w:p>
        </w:tc>
        <w:tc>
          <w:tcPr>
            <w:tcW w:w="3675" w:type="dxa"/>
            <w:gridSpan w:val="2"/>
            <w:noWrap w:val="0"/>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155.62</w:t>
            </w:r>
          </w:p>
        </w:tc>
        <w:tc>
          <w:tcPr>
            <w:tcW w:w="2310" w:type="dxa"/>
            <w:noWrap w:val="0"/>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151.77</w:t>
            </w:r>
          </w:p>
        </w:tc>
        <w:tc>
          <w:tcPr>
            <w:tcW w:w="4302" w:type="dxa"/>
            <w:noWrap w:val="0"/>
            <w:vAlign w:val="center"/>
          </w:tcPr>
          <w:p>
            <w:pPr>
              <w:widowControl/>
              <w:jc w:val="right"/>
              <w:textAlignment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noWrap w:val="0"/>
            <w:vAlign w:val="center"/>
          </w:tcPr>
          <w:p>
            <w:pPr>
              <w:widowControl/>
              <w:jc w:val="left"/>
              <w:textAlignment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w:t>
            </w:r>
            <w:r>
              <w:rPr>
                <w:rFonts w:hint="eastAsia" w:ascii="宋体" w:hAnsi="宋体" w:eastAsia="宋体" w:cs="Times New Roman"/>
                <w:color w:val="000000"/>
                <w:sz w:val="18"/>
                <w:szCs w:val="18"/>
                <w:lang w:val="en-US" w:eastAsia="zh-CN"/>
              </w:rPr>
              <w:t>210</w:t>
            </w:r>
            <w:r>
              <w:rPr>
                <w:rFonts w:hint="eastAsia" w:ascii="宋体" w:hAnsi="宋体" w:eastAsia="宋体" w:cs="Times New Roman"/>
                <w:color w:val="000000"/>
                <w:sz w:val="18"/>
                <w:szCs w:val="18"/>
              </w:rPr>
              <w:t>]</w:t>
            </w:r>
            <w:r>
              <w:rPr>
                <w:rFonts w:hint="eastAsia" w:ascii="宋体" w:hAnsi="宋体" w:eastAsia="宋体" w:cs="Times New Roman"/>
                <w:color w:val="000000"/>
                <w:sz w:val="18"/>
                <w:szCs w:val="18"/>
                <w:lang w:eastAsia="zh-CN"/>
              </w:rPr>
              <w:t>卫生健康支出</w:t>
            </w:r>
          </w:p>
        </w:tc>
        <w:tc>
          <w:tcPr>
            <w:tcW w:w="3675" w:type="dxa"/>
            <w:gridSpan w:val="2"/>
            <w:noWrap w:val="0"/>
            <w:vAlign w:val="center"/>
          </w:tcPr>
          <w:p>
            <w:pPr>
              <w:widowControl/>
              <w:jc w:val="right"/>
              <w:textAlignment w:val="center"/>
              <w:rPr>
                <w:rFonts w:ascii="宋体" w:hAnsi="宋体"/>
                <w:color w:val="000000"/>
                <w:kern w:val="0"/>
                <w:sz w:val="18"/>
                <w:szCs w:val="18"/>
              </w:rPr>
            </w:pPr>
          </w:p>
        </w:tc>
        <w:tc>
          <w:tcPr>
            <w:tcW w:w="2310" w:type="dxa"/>
            <w:noWrap w:val="0"/>
            <w:vAlign w:val="center"/>
          </w:tcPr>
          <w:p>
            <w:pPr>
              <w:widowControl/>
              <w:jc w:val="right"/>
              <w:textAlignment w:val="center"/>
              <w:rPr>
                <w:rFonts w:ascii="宋体" w:hAnsi="宋体"/>
                <w:color w:val="000000"/>
                <w:kern w:val="0"/>
                <w:sz w:val="18"/>
                <w:szCs w:val="18"/>
              </w:rPr>
            </w:pPr>
          </w:p>
        </w:tc>
        <w:tc>
          <w:tcPr>
            <w:tcW w:w="4302" w:type="dxa"/>
            <w:noWrap w:val="0"/>
            <w:vAlign w:val="center"/>
          </w:tcPr>
          <w:p>
            <w:pPr>
              <w:widowControl/>
              <w:jc w:val="right"/>
              <w:textAlignment w:val="center"/>
              <w:rPr>
                <w:rFonts w:ascii="宋体" w:hAnsi="宋体"/>
                <w:color w:val="000000"/>
                <w:kern w:val="0"/>
                <w:sz w:val="18"/>
                <w:szCs w:val="18"/>
              </w:rPr>
            </w:pPr>
          </w:p>
        </w:tc>
      </w:tr>
      <w:bookmarkEnd w:id="22"/>
    </w:tbl>
    <w:p>
      <w:pPr>
        <w:rPr>
          <w:rFonts w:hint="eastAsia"/>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4" w:name="PO_part1remark5"/>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24"/>
    </w:p>
    <w:p>
      <w:pPr>
        <w:rPr>
          <w:rFonts w:hint="eastAsia"/>
        </w:rPr>
      </w:pPr>
      <w:bookmarkStart w:id="25" w:name="PO_part2Table6"/>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4"/>
        <w:gridCol w:w="5395"/>
        <w:gridCol w:w="3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3"/>
            <w:tcBorders>
              <w:top w:val="nil"/>
              <w:left w:val="nil"/>
              <w:bottom w:val="nil"/>
              <w:right w:val="nil"/>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b/>
                <w:bCs/>
                <w:i w:val="0"/>
                <w:iCs w:val="0"/>
                <w:color w:val="000000"/>
                <w:kern w:val="0"/>
                <w:sz w:val="24"/>
                <w:szCs w:val="24"/>
                <w:u w:val="none"/>
                <w:lang w:val="en-US" w:eastAsia="zh-CN" w:bidi="ar"/>
              </w:rPr>
              <w:t>一般公共预算基本支出情况表（按经济分类科目）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0789"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rPr>
            </w:pPr>
            <w:r>
              <w:rPr>
                <w:rFonts w:ascii="宋体" w:hAnsi="宋体" w:eastAsia="宋体" w:cs="宋体"/>
                <w:i w:val="0"/>
                <w:iCs w:val="0"/>
                <w:color w:val="000000"/>
                <w:kern w:val="0"/>
                <w:sz w:val="18"/>
                <w:szCs w:val="18"/>
                <w:u w:val="none"/>
                <w:lang w:val="en-US" w:eastAsia="zh-CN" w:bidi="ar"/>
              </w:rPr>
              <w:t>单位名称：中山市南朗街道卫生监督所</w:t>
            </w:r>
          </w:p>
        </w:tc>
        <w:tc>
          <w:tcPr>
            <w:tcW w:w="3386" w:type="dxa"/>
            <w:tcBorders>
              <w:top w:val="nil"/>
              <w:left w:val="nil"/>
              <w:bottom w:val="nil"/>
              <w:right w:val="nil"/>
            </w:tcBorders>
            <w:noWrap w:val="0"/>
            <w:vAlign w:val="center"/>
          </w:tcPr>
          <w:p>
            <w:pPr>
              <w:keepNext w:val="0"/>
              <w:keepLines w:val="0"/>
              <w:widowControl/>
              <w:suppressLineNumbers w:val="0"/>
              <w:jc w:val="right"/>
              <w:textAlignment w:val="center"/>
            </w:pPr>
            <w:r>
              <w:rPr>
                <w:rFonts w:ascii="宋体" w:hAnsi="宋体" w:eastAsia="宋体" w:cs="宋体"/>
                <w:i w:val="0"/>
                <w:iCs w:val="0"/>
                <w:color w:val="000000"/>
                <w:kern w:val="0"/>
                <w:sz w:val="18"/>
                <w:szCs w:val="18"/>
                <w:u w:val="none"/>
                <w:lang w:val="en-US" w:eastAsia="zh-CN"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5394" w:type="dxa"/>
            <w:tcBorders>
              <w:top w:val="nil"/>
              <w:left w:val="nil"/>
              <w:bottom w:val="single" w:color="auto" w:sz="4" w:space="0"/>
              <w:right w:val="nil"/>
            </w:tcBorders>
            <w:noWrap w:val="0"/>
            <w:vAlign w:val="center"/>
          </w:tcPr>
          <w:p>
            <w:pPr>
              <w:keepNext w:val="0"/>
              <w:keepLines w:val="0"/>
              <w:widowControl/>
              <w:suppressLineNumbers w:val="0"/>
              <w:jc w:val="center"/>
              <w:textAlignment w:val="center"/>
              <w:rPr>
                <w:rFonts w:hint="eastAsia"/>
              </w:rPr>
            </w:pPr>
            <w:r>
              <w:rPr>
                <w:rFonts w:ascii="宋体" w:hAnsi="宋体" w:eastAsia="宋体" w:cs="宋体"/>
                <w:i w:val="0"/>
                <w:iCs w:val="0"/>
                <w:color w:val="000000"/>
                <w:kern w:val="0"/>
                <w:sz w:val="18"/>
                <w:szCs w:val="18"/>
                <w:u w:val="none"/>
                <w:lang w:val="en-US" w:eastAsia="zh-CN" w:bidi="ar"/>
              </w:rPr>
              <w:t>部门预算支出经济科目</w:t>
            </w:r>
          </w:p>
        </w:tc>
        <w:tc>
          <w:tcPr>
            <w:tcW w:w="5395" w:type="dxa"/>
            <w:tcBorders>
              <w:top w:val="nil"/>
              <w:left w:val="nil"/>
              <w:bottom w:val="single" w:color="auto" w:sz="4" w:space="0"/>
              <w:right w:val="nil"/>
            </w:tcBorders>
            <w:noWrap w:val="0"/>
            <w:vAlign w:val="center"/>
          </w:tcPr>
          <w:p>
            <w:pPr>
              <w:keepNext w:val="0"/>
              <w:keepLines w:val="0"/>
              <w:widowControl/>
              <w:suppressLineNumbers w:val="0"/>
              <w:jc w:val="center"/>
              <w:textAlignment w:val="center"/>
              <w:rPr>
                <w:rFonts w:hint="eastAsia"/>
              </w:rPr>
            </w:pPr>
            <w:r>
              <w:rPr>
                <w:rFonts w:ascii="宋体" w:hAnsi="宋体" w:eastAsia="宋体" w:cs="宋体"/>
                <w:i w:val="0"/>
                <w:iCs w:val="0"/>
                <w:color w:val="000000"/>
                <w:kern w:val="0"/>
                <w:sz w:val="18"/>
                <w:szCs w:val="18"/>
                <w:u w:val="none"/>
                <w:lang w:val="en-US" w:eastAsia="zh-CN" w:bidi="ar"/>
              </w:rPr>
              <w:t>政府预算支出经济科目</w:t>
            </w:r>
          </w:p>
        </w:tc>
        <w:tc>
          <w:tcPr>
            <w:tcW w:w="3386" w:type="dxa"/>
            <w:tcBorders>
              <w:top w:val="nil"/>
              <w:left w:val="nil"/>
              <w:bottom w:val="single" w:color="auto" w:sz="4" w:space="0"/>
              <w:right w:val="nil"/>
            </w:tcBorders>
            <w:noWrap w:val="0"/>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5394" w:type="dxa"/>
            <w:tcBorders>
              <w:top w:val="single" w:color="auto" w:sz="4" w:space="0"/>
            </w:tcBorders>
            <w:noWrap w:val="0"/>
            <w:vAlign w:val="center"/>
          </w:tcPr>
          <w:p>
            <w:pPr>
              <w:keepNext w:val="0"/>
              <w:keepLines w:val="0"/>
              <w:widowControl/>
              <w:suppressLineNumbers w:val="0"/>
              <w:jc w:val="center"/>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合    计</w:t>
            </w:r>
          </w:p>
        </w:tc>
        <w:tc>
          <w:tcPr>
            <w:tcW w:w="5395" w:type="dxa"/>
            <w:tcBorders>
              <w:top w:val="single" w:color="auto" w:sz="4" w:space="0"/>
            </w:tcBorders>
            <w:noWrap w:val="0"/>
            <w:vAlign w:val="center"/>
          </w:tcPr>
          <w:p>
            <w:pPr>
              <w:rPr>
                <w:rFonts w:ascii="宋体" w:hAnsi="宋体"/>
                <w:color w:val="000000"/>
                <w:sz w:val="18"/>
                <w:szCs w:val="18"/>
              </w:rPr>
            </w:pPr>
          </w:p>
        </w:tc>
        <w:tc>
          <w:tcPr>
            <w:tcW w:w="3386" w:type="dxa"/>
            <w:tcBorders>
              <w:top w:val="single" w:color="auto" w:sz="4" w:space="0"/>
            </w:tcBorders>
            <w:noWrap w:val="0"/>
            <w:vAlign w:val="center"/>
          </w:tcPr>
          <w:p>
            <w:pPr>
              <w:keepNext w:val="0"/>
              <w:keepLines w:val="0"/>
              <w:widowControl/>
              <w:suppressLineNumbers w:val="0"/>
              <w:jc w:val="righ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177.20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hint="eastAsia"/>
                <w:sz w:val="18"/>
                <w:szCs w:val="18"/>
              </w:rPr>
            </w:pPr>
            <w:r>
              <w:rPr>
                <w:rFonts w:ascii="宋体" w:hAnsi="宋体" w:eastAsia="宋体" w:cs="宋体"/>
                <w:i w:val="0"/>
                <w:iCs w:val="0"/>
                <w:color w:val="000000"/>
                <w:kern w:val="0"/>
                <w:sz w:val="18"/>
                <w:szCs w:val="18"/>
                <w:u w:val="none"/>
                <w:lang w:val="en-US" w:eastAsia="zh-CN" w:bidi="ar"/>
              </w:rPr>
              <w:t>[301]工资福利支出</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[505]对事业单位经常性补助</w:t>
            </w:r>
          </w:p>
        </w:tc>
        <w:tc>
          <w:tcPr>
            <w:tcW w:w="3386" w:type="dxa"/>
            <w:noWrap w:val="0"/>
            <w:vAlign w:val="center"/>
          </w:tcPr>
          <w:p>
            <w:pPr>
              <w:keepNext w:val="0"/>
              <w:keepLines w:val="0"/>
              <w:widowControl/>
              <w:suppressLineNumbers w:val="0"/>
              <w:jc w:val="right"/>
              <w:textAlignment w:val="center"/>
              <w:rPr>
                <w:rFonts w:hint="default" w:ascii="宋体" w:hAnsi="宋体" w:eastAsia="宋体"/>
                <w:color w:val="000000"/>
                <w:sz w:val="18"/>
                <w:szCs w:val="18"/>
                <w:lang w:val="en-US" w:eastAsia="zh-CN"/>
              </w:rPr>
            </w:pPr>
            <w:r>
              <w:rPr>
                <w:rFonts w:ascii="宋体" w:hAnsi="宋体" w:eastAsia="宋体" w:cs="宋体"/>
                <w:i w:val="0"/>
                <w:iCs w:val="0"/>
                <w:color w:val="000000"/>
                <w:kern w:val="0"/>
                <w:sz w:val="18"/>
                <w:szCs w:val="18"/>
                <w:u w:val="none"/>
                <w:lang w:val="en-US" w:eastAsia="zh-CN" w:bidi="ar"/>
              </w:rPr>
              <w:t>162.61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[30101]基本工资</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[50501]工资福利支出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[30102]津贴补贴</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[50501]工资福利支出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[30103]奖金</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[50501]工资福利支出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[30107]绩效工资</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[50501]工资福利支出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30.96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[30108]机关事业单位基本养老保险缴费</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[50501]工资福利支出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[30109]职业年金缴费</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[50501]工资福利支出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[30110]职工基本医疗保险缴费</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[50501]工资福利支出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[30111]公务员医疗补助缴费</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[50501]工资福利支出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[30112]其他社会保障缴费</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[50501]工资福利支出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[30113]住房公积金</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[50501]工资福利支出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[30199]其他工资福利支出</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[50501]工资福利支出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[302]商品和服务支出</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[505]对事业单位经常性补助</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[30201]办公费</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[50502]商品和服务支出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[30211]差旅费</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[50502]商品和服务支出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[30213]维修（护）费</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[50502]商品和服务支出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[30217]公务接待费</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[50502]商品和服务支出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[30227]委托业务费</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[50502]商品和服务支出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[30231]公务用车运行维护费</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[50502]商品和服务支出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[30239]其他交通费用</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[50502]商品和服务支出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175" w:type="dxa"/>
            <w:gridSpan w:val="3"/>
            <w:noWrap w:val="0"/>
            <w:vAlign w:val="center"/>
          </w:tcPr>
          <w:p>
            <w:pPr>
              <w:keepNext w:val="0"/>
              <w:keepLines w:val="0"/>
              <w:widowControl/>
              <w:suppressLineNumbers w:val="0"/>
              <w:jc w:val="center"/>
              <w:textAlignment w:val="center"/>
              <w:rPr>
                <w:sz w:val="18"/>
                <w:szCs w:val="18"/>
              </w:rPr>
            </w:pPr>
            <w:r>
              <w:rPr>
                <w:rFonts w:hint="eastAsia" w:ascii="宋体" w:hAnsi="宋体" w:eastAsia="宋体" w:cs="宋体"/>
                <w:b/>
                <w:bCs/>
                <w:i w:val="0"/>
                <w:iCs w:val="0"/>
                <w:color w:val="000000"/>
                <w:kern w:val="0"/>
                <w:sz w:val="24"/>
                <w:szCs w:val="24"/>
                <w:u w:val="none"/>
                <w:lang w:val="en-US" w:eastAsia="zh-CN" w:bidi="ar"/>
              </w:rPr>
              <w:t>一般公共预算基本支出情况表（按经济分类科目）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0789" w:type="dxa"/>
            <w:gridSpan w:val="2"/>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单位名称：中山市南朗街道卫生监督所</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center"/>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部门预算支出经济科目</w:t>
            </w:r>
          </w:p>
        </w:tc>
        <w:tc>
          <w:tcPr>
            <w:tcW w:w="5395" w:type="dxa"/>
            <w:noWrap w:val="0"/>
            <w:vAlign w:val="center"/>
          </w:tcPr>
          <w:p>
            <w:pPr>
              <w:keepNext w:val="0"/>
              <w:keepLines w:val="0"/>
              <w:widowControl/>
              <w:suppressLineNumbers w:val="0"/>
              <w:jc w:val="center"/>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政府预算支出经济科目</w:t>
            </w:r>
          </w:p>
        </w:tc>
        <w:tc>
          <w:tcPr>
            <w:tcW w:w="3386" w:type="dxa"/>
            <w:noWrap w:val="0"/>
            <w:vAlign w:val="center"/>
          </w:tcPr>
          <w:p>
            <w:pPr>
              <w:keepNext w:val="0"/>
              <w:keepLines w:val="0"/>
              <w:widowControl/>
              <w:suppressLineNumbers w:val="0"/>
              <w:jc w:val="center"/>
              <w:textAlignment w:val="center"/>
              <w:rPr>
                <w:sz w:val="18"/>
                <w:szCs w:val="18"/>
              </w:rPr>
            </w:pPr>
            <w:r>
              <w:rPr>
                <w:rFonts w:ascii="宋体" w:hAnsi="宋体" w:eastAsia="宋体" w:cs="宋体"/>
                <w:i w:val="0"/>
                <w:iCs w:val="0"/>
                <w:color w:val="000000"/>
                <w:kern w:val="0"/>
                <w:sz w:val="18"/>
                <w:szCs w:val="18"/>
                <w:u w:val="none"/>
                <w:lang w:val="en-US" w:eastAsia="zh-CN" w:bidi="ar"/>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center"/>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合    计</w:t>
            </w:r>
          </w:p>
        </w:tc>
        <w:tc>
          <w:tcPr>
            <w:tcW w:w="5395" w:type="dxa"/>
            <w:noWrap w:val="0"/>
            <w:vAlign w:val="center"/>
          </w:tcPr>
          <w:p>
            <w:pPr>
              <w:rPr>
                <w:rFonts w:ascii="宋体" w:hAnsi="宋体"/>
                <w:color w:val="000000"/>
                <w:sz w:val="18"/>
                <w:szCs w:val="18"/>
              </w:rPr>
            </w:pP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177.20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[301]工资福利支出</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[505]对事业单位经常性补助</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162.61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[30101]基本工资</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[50501]工资福利支出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[30102]津贴补贴</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[50501]工资福利支出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[30103]奖金</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[50501]工资福利支出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[30107]绩效工资</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[50501]工资福利支出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30.96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[30108]机关事业单位基本养老保险缴费</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[50501]工资福利支出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[30109]职业年金缴费</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[50501]工资福利支出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[30110]职工基本医疗保险缴费</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[50501]工资福利支出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[30111]公务员医疗补助缴费</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[50501]工资福利支出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[30112]其他社会保障缴费</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[50501]工资福利支出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[30113]住房公积金</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[50501]工资福利支出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[30199]其他工资福利支出</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[50501]工资福利支出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[302]商品和服务支出</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[505]对事业单位经常性补助</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[30201]办公费</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[50502]商品和服务支出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[30211]差旅费</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[50502]商品和服务支出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[30213]维修（护）费</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[50502]商品和服务支出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[30217]公务接待费</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[50502]商品和服务支出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[30227]委托业务费</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[50502]商品和服务支出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[30231]公务用车运行维护费</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[50502]商品和服务支出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94"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[30239]其他交通费用</w:t>
            </w:r>
          </w:p>
        </w:tc>
        <w:tc>
          <w:tcPr>
            <w:tcW w:w="5395" w:type="dxa"/>
            <w:noWrap w:val="0"/>
            <w:vAlign w:val="center"/>
          </w:tcPr>
          <w:p>
            <w:pPr>
              <w:keepNext w:val="0"/>
              <w:keepLines w:val="0"/>
              <w:widowControl/>
              <w:suppressLineNumbers w:val="0"/>
              <w:jc w:val="left"/>
              <w:textAlignment w:val="center"/>
              <w:rPr>
                <w:rFonts w:ascii="宋体" w:hAnsi="宋体"/>
                <w:color w:val="000000"/>
                <w:sz w:val="18"/>
                <w:szCs w:val="18"/>
              </w:rPr>
            </w:pPr>
            <w:r>
              <w:rPr>
                <w:rFonts w:ascii="宋体" w:hAnsi="宋体" w:eastAsia="宋体" w:cs="宋体"/>
                <w:i w:val="0"/>
                <w:iCs w:val="0"/>
                <w:color w:val="000000"/>
                <w:kern w:val="0"/>
                <w:sz w:val="18"/>
                <w:szCs w:val="18"/>
                <w:u w:val="none"/>
                <w:lang w:val="en-US" w:eastAsia="zh-CN" w:bidi="ar"/>
              </w:rPr>
              <w:t xml:space="preserve">  [50502]商品和服务支出</w:t>
            </w:r>
          </w:p>
        </w:tc>
        <w:tc>
          <w:tcPr>
            <w:tcW w:w="3386" w:type="dxa"/>
            <w:noWrap w:val="0"/>
            <w:vAlign w:val="center"/>
          </w:tcPr>
          <w:p>
            <w:pPr>
              <w:keepNext w:val="0"/>
              <w:keepLines w:val="0"/>
              <w:widowControl/>
              <w:suppressLineNumbers w:val="0"/>
              <w:jc w:val="right"/>
              <w:textAlignment w:val="center"/>
              <w:rPr>
                <w:sz w:val="18"/>
                <w:szCs w:val="18"/>
              </w:rPr>
            </w:pPr>
            <w:r>
              <w:rPr>
                <w:rFonts w:ascii="宋体" w:hAnsi="宋体" w:eastAsia="宋体" w:cs="宋体"/>
                <w:i w:val="0"/>
                <w:iCs w:val="0"/>
                <w:color w:val="000000"/>
                <w:kern w:val="0"/>
                <w:sz w:val="18"/>
                <w:szCs w:val="18"/>
                <w:u w:val="none"/>
                <w:lang w:val="en-US" w:eastAsia="zh-CN" w:bidi="ar"/>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4175" w:type="dxa"/>
            <w:gridSpan w:val="3"/>
            <w:noWrap w:val="0"/>
            <w:vAlign w:val="center"/>
          </w:tcPr>
          <w:p>
            <w:pPr>
              <w:keepNext w:val="0"/>
              <w:keepLines w:val="0"/>
              <w:widowControl/>
              <w:suppressLineNumbers w:val="0"/>
              <w:jc w:val="center"/>
              <w:textAlignment w:val="center"/>
              <w:rPr>
                <w:sz w:val="18"/>
                <w:szCs w:val="18"/>
              </w:rPr>
            </w:pPr>
            <w:r>
              <w:rPr>
                <w:rFonts w:hint="eastAsia" w:ascii="宋体" w:hAnsi="宋体" w:eastAsia="宋体" w:cs="宋体"/>
                <w:b/>
                <w:bCs/>
                <w:i w:val="0"/>
                <w:iCs w:val="0"/>
                <w:color w:val="000000"/>
                <w:kern w:val="0"/>
                <w:sz w:val="24"/>
                <w:szCs w:val="24"/>
                <w:u w:val="none"/>
                <w:lang w:val="en-US" w:eastAsia="zh-CN" w:bidi="ar"/>
              </w:rPr>
              <w:t>一般公共预算基本支出情况表（按经济分类科目）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0789" w:type="dxa"/>
            <w:gridSpan w:val="2"/>
            <w:noWrap w:val="0"/>
            <w:vAlign w:val="center"/>
          </w:tcPr>
          <w:p>
            <w:pPr>
              <w:keepNext w:val="0"/>
              <w:keepLines w:val="0"/>
              <w:widowControl/>
              <w:suppressLineNumbers w:val="0"/>
              <w:jc w:val="lef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单位名称：中山市南朗街道卫生监督所</w:t>
            </w:r>
          </w:p>
        </w:tc>
        <w:tc>
          <w:tcPr>
            <w:tcW w:w="3386" w:type="dxa"/>
            <w:noWrap w:val="0"/>
            <w:vAlign w:val="center"/>
          </w:tcPr>
          <w:p>
            <w:pPr>
              <w:keepNext w:val="0"/>
              <w:keepLines w:val="0"/>
              <w:widowControl/>
              <w:suppressLineNumbers w:val="0"/>
              <w:jc w:val="right"/>
              <w:textAlignment w:val="center"/>
              <w:rPr>
                <w:rFonts w:ascii="宋体" w:hAnsi="宋体"/>
                <w:color w:val="000000"/>
                <w:kern w:val="0"/>
                <w:sz w:val="18"/>
                <w:szCs w:val="18"/>
              </w:rPr>
            </w:pPr>
            <w:r>
              <w:rPr>
                <w:rFonts w:ascii="宋体" w:hAnsi="宋体" w:eastAsia="宋体" w:cs="宋体"/>
                <w:i w:val="0"/>
                <w:iCs w:val="0"/>
                <w:color w:val="000000"/>
                <w:kern w:val="0"/>
                <w:sz w:val="18"/>
                <w:szCs w:val="18"/>
                <w:u w:val="none"/>
                <w:lang w:val="en-US" w:eastAsia="zh-CN" w:bidi="ar"/>
              </w:rPr>
              <w:t>单位：万元</w:t>
            </w:r>
          </w:p>
        </w:tc>
      </w:tr>
    </w:tbl>
    <w:p>
      <w:pPr>
        <w:rPr>
          <w:rFonts w:hint="default" w:ascii="宋体" w:hAnsi="宋体" w:eastAsia="宋体" w:cs="宋体"/>
          <w:color w:val="000000"/>
          <w:kern w:val="0"/>
          <w:sz w:val="18"/>
          <w:szCs w:val="18"/>
          <w:lang w:val="en-US" w:eastAsia="zh-CN"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6" w:name="PO_part1remark6"/>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26"/>
      <w:r>
        <w:rPr>
          <w:rFonts w:hint="eastAsia" w:ascii="宋体" w:hAnsi="宋体" w:cs="宋体"/>
          <w:color w:val="000000"/>
          <w:kern w:val="0"/>
          <w:sz w:val="18"/>
          <w:szCs w:val="18"/>
          <w:lang w:val="en-US" w:eastAsia="zh-CN" w:bidi="ar"/>
        </w:rPr>
        <w:t xml:space="preserve"> </w:t>
      </w:r>
      <w:bookmarkEnd w:id="25"/>
      <w:r>
        <w:rPr>
          <w:rFonts w:hint="eastAsia" w:ascii="宋体" w:hAnsi="宋体" w:cs="宋体"/>
          <w:color w:val="000000"/>
          <w:kern w:val="0"/>
          <w:sz w:val="18"/>
          <w:szCs w:val="18"/>
          <w:lang w:val="en-US" w:eastAsia="zh-CN" w:bidi="ar"/>
        </w:rPr>
        <w:t xml:space="preserve"> </w:t>
      </w:r>
    </w:p>
    <w:p>
      <w:pPr>
        <w:rPr>
          <w:rFonts w:hint="eastAsia"/>
        </w:rPr>
      </w:pPr>
      <w:bookmarkStart w:id="27" w:name="PO_part2Table8"/>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9"/>
        <w:gridCol w:w="1785"/>
        <w:gridCol w:w="419"/>
        <w:gridCol w:w="2204"/>
        <w:gridCol w:w="2204"/>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财政拨款安排的行政经费及“三公”经费预算表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144" w:type="dxa"/>
            <w:gridSpan w:val="2"/>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28" w:name="PO_part2Table8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中山市南朗街道卫生监督所</w:t>
            </w:r>
            <w:r>
              <w:rPr>
                <w:rFonts w:hint="eastAsia" w:ascii="宋体" w:hAnsi="宋体"/>
                <w:color w:val="000000"/>
                <w:kern w:val="0"/>
                <w:sz w:val="18"/>
                <w:szCs w:val="18"/>
              </w:rPr>
              <w:t xml:space="preserve"> </w:t>
            </w:r>
            <w:bookmarkEnd w:id="28"/>
          </w:p>
        </w:tc>
        <w:tc>
          <w:tcPr>
            <w:tcW w:w="7031" w:type="dxa"/>
            <w:gridSpan w:val="4"/>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5359"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2204" w:type="dxa"/>
            <w:gridSpan w:val="2"/>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2204"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一般公共预算</w:t>
            </w:r>
          </w:p>
        </w:tc>
        <w:tc>
          <w:tcPr>
            <w:tcW w:w="2204"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政府性基金预算</w:t>
            </w:r>
          </w:p>
        </w:tc>
        <w:tc>
          <w:tcPr>
            <w:tcW w:w="2204" w:type="dxa"/>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国有资本经营预算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行政经费</w:t>
            </w:r>
          </w:p>
        </w:tc>
        <w:tc>
          <w:tcPr>
            <w:tcW w:w="2204" w:type="dxa"/>
            <w:gridSpan w:val="2"/>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“三公”经费</w:t>
            </w:r>
          </w:p>
        </w:tc>
        <w:tc>
          <w:tcPr>
            <w:tcW w:w="2204" w:type="dxa"/>
            <w:gridSpan w:val="2"/>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3.45</w:t>
            </w:r>
          </w:p>
        </w:tc>
        <w:tc>
          <w:tcPr>
            <w:tcW w:w="2204"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3.45</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其中：（一）因公出国（境）支出</w:t>
            </w:r>
          </w:p>
        </w:tc>
        <w:tc>
          <w:tcPr>
            <w:tcW w:w="2204" w:type="dxa"/>
            <w:gridSpan w:val="2"/>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（二）公务用车购置及运行维护支出</w:t>
            </w:r>
          </w:p>
        </w:tc>
        <w:tc>
          <w:tcPr>
            <w:tcW w:w="2204" w:type="dxa"/>
            <w:gridSpan w:val="2"/>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3.15</w:t>
            </w:r>
          </w:p>
        </w:tc>
        <w:tc>
          <w:tcPr>
            <w:tcW w:w="2204"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3.15</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1.公务用车购置</w:t>
            </w:r>
          </w:p>
        </w:tc>
        <w:tc>
          <w:tcPr>
            <w:tcW w:w="2204" w:type="dxa"/>
            <w:gridSpan w:val="2"/>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2.公务用车运行维护费</w:t>
            </w:r>
          </w:p>
        </w:tc>
        <w:tc>
          <w:tcPr>
            <w:tcW w:w="2204" w:type="dxa"/>
            <w:gridSpan w:val="2"/>
            <w:noWrap w:val="0"/>
            <w:vAlign w:val="center"/>
          </w:tcPr>
          <w:p>
            <w:pPr>
              <w:jc w:val="right"/>
              <w:rPr>
                <w:rFonts w:hint="default" w:eastAsia="宋体"/>
                <w:sz w:val="18"/>
                <w:szCs w:val="18"/>
                <w:lang w:val="en-US" w:eastAsia="zh-CN"/>
              </w:rPr>
            </w:pPr>
            <w:r>
              <w:rPr>
                <w:rFonts w:hint="eastAsia"/>
                <w:sz w:val="18"/>
                <w:szCs w:val="18"/>
                <w:lang w:val="en-US" w:eastAsia="zh-CN"/>
              </w:rPr>
              <w:t>3.15</w:t>
            </w:r>
          </w:p>
        </w:tc>
        <w:tc>
          <w:tcPr>
            <w:tcW w:w="2204"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3.15</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（三）公务接待费支出</w:t>
            </w:r>
          </w:p>
        </w:tc>
        <w:tc>
          <w:tcPr>
            <w:tcW w:w="2204" w:type="dxa"/>
            <w:gridSpan w:val="2"/>
            <w:noWrap w:val="0"/>
            <w:vAlign w:val="center"/>
          </w:tcPr>
          <w:p>
            <w:pPr>
              <w:jc w:val="right"/>
              <w:rPr>
                <w:rFonts w:hint="eastAsia" w:eastAsia="宋体"/>
                <w:sz w:val="18"/>
                <w:szCs w:val="18"/>
                <w:lang w:eastAsia="zh-CN"/>
              </w:rPr>
            </w:pPr>
            <w:r>
              <w:rPr>
                <w:rFonts w:hint="eastAsia" w:ascii="宋体" w:hAnsi="宋体"/>
                <w:color w:val="000000"/>
                <w:sz w:val="18"/>
                <w:szCs w:val="18"/>
              </w:rPr>
              <w:t>0.</w:t>
            </w:r>
            <w:r>
              <w:rPr>
                <w:rFonts w:hint="eastAsia" w:ascii="宋体" w:hAnsi="宋体"/>
                <w:color w:val="000000"/>
                <w:sz w:val="18"/>
                <w:szCs w:val="18"/>
                <w:lang w:val="en-US" w:eastAsia="zh-CN"/>
              </w:rPr>
              <w:t>3</w:t>
            </w:r>
          </w:p>
        </w:tc>
        <w:tc>
          <w:tcPr>
            <w:tcW w:w="2204" w:type="dxa"/>
            <w:noWrap w:val="0"/>
            <w:vAlign w:val="center"/>
          </w:tcPr>
          <w:p>
            <w:pPr>
              <w:jc w:val="right"/>
              <w:rPr>
                <w:rFonts w:hint="default" w:eastAsia="宋体"/>
                <w:sz w:val="18"/>
                <w:szCs w:val="18"/>
                <w:lang w:val="en-US" w:eastAsia="zh-CN"/>
              </w:rPr>
            </w:pPr>
            <w:r>
              <w:rPr>
                <w:rFonts w:hint="eastAsia" w:ascii="宋体" w:hAnsi="宋体"/>
                <w:color w:val="000000"/>
                <w:sz w:val="18"/>
                <w:szCs w:val="18"/>
                <w:lang w:val="en-US" w:eastAsia="zh-CN"/>
              </w:rPr>
              <w:t>0.3</w:t>
            </w:r>
          </w:p>
        </w:tc>
        <w:tc>
          <w:tcPr>
            <w:tcW w:w="2204" w:type="dxa"/>
            <w:noWrap w:val="0"/>
            <w:vAlign w:val="center"/>
          </w:tcPr>
          <w:p>
            <w:pPr>
              <w:jc w:val="right"/>
              <w:rPr>
                <w:sz w:val="18"/>
                <w:szCs w:val="18"/>
              </w:rPr>
            </w:pPr>
            <w:r>
              <w:rPr>
                <w:rFonts w:hint="eastAsia" w:ascii="宋体" w:hAnsi="宋体"/>
                <w:color w:val="000000"/>
                <w:sz w:val="18"/>
                <w:szCs w:val="18"/>
              </w:rPr>
              <w:t>0.00</w:t>
            </w:r>
          </w:p>
        </w:tc>
        <w:tc>
          <w:tcPr>
            <w:tcW w:w="2204" w:type="dxa"/>
            <w:noWrap w:val="0"/>
            <w:vAlign w:val="center"/>
          </w:tcPr>
          <w:p>
            <w:pPr>
              <w:jc w:val="right"/>
              <w:rPr>
                <w:sz w:val="18"/>
                <w:szCs w:val="18"/>
              </w:rPr>
            </w:pPr>
            <w:r>
              <w:rPr>
                <w:rFonts w:hint="eastAsia" w:ascii="宋体" w:hAnsi="宋体"/>
                <w:color w:val="000000"/>
                <w:sz w:val="18"/>
                <w:szCs w:val="18"/>
              </w:rPr>
              <w:t>0.00</w:t>
            </w:r>
          </w:p>
        </w:tc>
      </w:tr>
      <w:bookmarkEnd w:id="27"/>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9" w:name="PO_part1remark7"/>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29"/>
    </w:p>
    <w:p>
      <w:pPr>
        <w:rPr>
          <w:rFonts w:hint="eastAsia"/>
        </w:rPr>
      </w:pPr>
      <w:bookmarkStart w:id="30" w:name="PO_part2Table9"/>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4"/>
        <w:gridCol w:w="2306"/>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340" w:type="dxa"/>
            <w:gridSpan w:val="4"/>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31" w:name="PO_part2Table9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中山市南朗街道卫生监督所</w:t>
            </w:r>
            <w:r>
              <w:rPr>
                <w:rFonts w:hint="eastAsia" w:ascii="宋体" w:hAnsi="宋体"/>
                <w:color w:val="000000"/>
                <w:kern w:val="0"/>
                <w:sz w:val="18"/>
                <w:szCs w:val="18"/>
              </w:rPr>
              <w:t xml:space="preserve"> </w:t>
            </w:r>
            <w:bookmarkEnd w:id="31"/>
          </w:p>
        </w:tc>
        <w:tc>
          <w:tcPr>
            <w:tcW w:w="283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6199" w:type="dxa"/>
            <w:gridSpan w:val="2"/>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7976" w:type="dxa"/>
            <w:gridSpan w:val="3"/>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政府性基金预算支出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2306"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noWrap w:val="0"/>
            <w:vAlign w:val="center"/>
          </w:tcPr>
          <w:p>
            <w:pPr>
              <w:jc w:val="left"/>
              <w:rPr>
                <w:rFonts w:ascii="宋体" w:hAnsi="宋体"/>
                <w:color w:val="000000"/>
                <w:sz w:val="18"/>
                <w:szCs w:val="18"/>
              </w:rPr>
            </w:pP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noWrap w:val="0"/>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229</w:t>
            </w:r>
          </w:p>
        </w:tc>
        <w:tc>
          <w:tcPr>
            <w:tcW w:w="336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其他支出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noWrap w:val="0"/>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22960</w:t>
            </w:r>
          </w:p>
        </w:tc>
        <w:tc>
          <w:tcPr>
            <w:tcW w:w="336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彩票公益金安排的支出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noWrap w:val="0"/>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2296003</w:t>
            </w:r>
          </w:p>
        </w:tc>
        <w:tc>
          <w:tcPr>
            <w:tcW w:w="3364" w:type="dxa"/>
            <w:noWrap w:val="0"/>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用于体育事业的彩票公益金支出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noWrap w:val="0"/>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2296004</w:t>
            </w:r>
          </w:p>
        </w:tc>
        <w:tc>
          <w:tcPr>
            <w:tcW w:w="3364" w:type="dxa"/>
            <w:noWrap w:val="0"/>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用于教育事业的彩票公益金支出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noWrap w:val="0"/>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w:t>
            </w:r>
          </w:p>
        </w:tc>
        <w:tc>
          <w:tcPr>
            <w:tcW w:w="3364" w:type="dxa"/>
            <w:noWrap w:val="0"/>
            <w:vAlign w:val="center"/>
          </w:tcPr>
          <w:p>
            <w:pPr>
              <w:widowControl/>
              <w:jc w:val="left"/>
              <w:textAlignment w:val="center"/>
              <w:rPr>
                <w:rFonts w:hint="eastAsia" w:ascii="宋体" w:hAnsi="宋体"/>
                <w:color w:val="000000"/>
                <w:kern w:val="0"/>
                <w:sz w:val="18"/>
                <w:szCs w:val="18"/>
                <w:lang w:eastAsia="zh-CN"/>
              </w:rPr>
            </w:pPr>
            <w:r>
              <w:rPr>
                <w:rFonts w:hint="eastAsia" w:ascii="宋体" w:hAnsi="宋体"/>
                <w:color w:val="000000"/>
                <w:kern w:val="0"/>
                <w:sz w:val="18"/>
                <w:szCs w:val="18"/>
              </w:rPr>
              <w:t>（注：</w:t>
            </w:r>
            <w:r>
              <w:rPr>
                <w:rFonts w:hint="eastAsia" w:ascii="宋体" w:hAnsi="宋体"/>
                <w:color w:val="000000"/>
                <w:kern w:val="0"/>
                <w:sz w:val="18"/>
                <w:szCs w:val="18"/>
                <w:lang w:eastAsia="zh-CN"/>
              </w:rPr>
              <w:t>具体科目请根据单位实际情况填报，模板预制科目如无发生额，请删除。</w:t>
            </w:r>
          </w:p>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如需增加科目请插入新行，否则删除本行。）</w:t>
            </w:r>
          </w:p>
        </w:tc>
        <w:tc>
          <w:tcPr>
            <w:tcW w:w="2306" w:type="dxa"/>
            <w:noWrap w:val="0"/>
            <w:vAlign w:val="center"/>
          </w:tcPr>
          <w:p>
            <w:pPr>
              <w:widowControl/>
              <w:jc w:val="right"/>
              <w:textAlignment w:val="center"/>
              <w:rPr>
                <w:rFonts w:ascii="宋体" w:hAnsi="宋体"/>
                <w:color w:val="000000"/>
                <w:kern w:val="0"/>
                <w:sz w:val="18"/>
                <w:szCs w:val="18"/>
              </w:rPr>
            </w:pPr>
          </w:p>
        </w:tc>
        <w:tc>
          <w:tcPr>
            <w:tcW w:w="2835" w:type="dxa"/>
            <w:noWrap w:val="0"/>
            <w:vAlign w:val="center"/>
          </w:tcPr>
          <w:p>
            <w:pPr>
              <w:widowControl/>
              <w:jc w:val="right"/>
              <w:textAlignment w:val="center"/>
              <w:rPr>
                <w:rFonts w:ascii="宋体" w:hAnsi="宋体"/>
                <w:color w:val="000000"/>
                <w:kern w:val="0"/>
                <w:sz w:val="18"/>
                <w:szCs w:val="18"/>
              </w:rPr>
            </w:pPr>
          </w:p>
        </w:tc>
        <w:tc>
          <w:tcPr>
            <w:tcW w:w="2835" w:type="dxa"/>
            <w:noWrap w:val="0"/>
            <w:vAlign w:val="center"/>
          </w:tcPr>
          <w:p>
            <w:pPr>
              <w:widowControl/>
              <w:jc w:val="right"/>
              <w:textAlignment w:val="center"/>
              <w:rPr>
                <w:rFonts w:ascii="宋体" w:hAnsi="宋体"/>
                <w:color w:val="000000"/>
                <w:kern w:val="0"/>
                <w:sz w:val="18"/>
                <w:szCs w:val="18"/>
              </w:rPr>
            </w:pPr>
          </w:p>
        </w:tc>
      </w:tr>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32" w:name="PO_part1remark8"/>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32"/>
      <w:r>
        <w:rPr>
          <w:rFonts w:hint="eastAsia" w:ascii="宋体" w:hAnsi="宋体" w:cs="宋体"/>
          <w:color w:val="000000"/>
          <w:kern w:val="0"/>
          <w:sz w:val="18"/>
          <w:szCs w:val="18"/>
          <w:lang w:bidi="ar"/>
        </w:rPr>
        <w:t xml:space="preserve"> </w:t>
      </w:r>
      <w:bookmarkEnd w:id="30"/>
      <w:r>
        <w:rPr>
          <w:rFonts w:ascii="宋体" w:hAnsi="宋体" w:cs="宋体"/>
          <w:color w:val="000000"/>
          <w:kern w:val="0"/>
          <w:sz w:val="18"/>
          <w:szCs w:val="18"/>
          <w:lang w:bidi="ar"/>
        </w:rPr>
        <w:br w:type="page"/>
      </w:r>
      <w:bookmarkStart w:id="33" w:name="PO_part2Table10"/>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4"/>
        <w:gridCol w:w="2306"/>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rPr>
              <w:t>表9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国有资本经营预算支出情况表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340" w:type="dxa"/>
            <w:gridSpan w:val="4"/>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34" w:name="PO_part2Table10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中山市南朗街道卫生监督所</w:t>
            </w:r>
            <w:r>
              <w:rPr>
                <w:rFonts w:hint="eastAsia" w:ascii="宋体" w:hAnsi="宋体"/>
                <w:color w:val="000000"/>
                <w:kern w:val="0"/>
                <w:sz w:val="18"/>
                <w:szCs w:val="18"/>
              </w:rPr>
              <w:t xml:space="preserve"> </w:t>
            </w:r>
            <w:bookmarkEnd w:id="34"/>
          </w:p>
        </w:tc>
        <w:tc>
          <w:tcPr>
            <w:tcW w:w="2835"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6199" w:type="dxa"/>
            <w:gridSpan w:val="2"/>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7976" w:type="dxa"/>
            <w:gridSpan w:val="3"/>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国有资本经营预算支出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2306"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2835"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noWrap w:val="0"/>
            <w:vAlign w:val="center"/>
          </w:tcPr>
          <w:p>
            <w:pPr>
              <w:jc w:val="left"/>
              <w:rPr>
                <w:rFonts w:ascii="宋体" w:hAnsi="宋体"/>
                <w:color w:val="000000"/>
                <w:sz w:val="18"/>
                <w:szCs w:val="18"/>
              </w:rPr>
            </w:pPr>
          </w:p>
        </w:tc>
        <w:tc>
          <w:tcPr>
            <w:tcW w:w="3364"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trPr>
        <w:tc>
          <w:tcPr>
            <w:tcW w:w="2835"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lang w:val="en-US" w:eastAsia="zh-CN"/>
              </w:rPr>
              <w:t>223</w:t>
            </w:r>
          </w:p>
        </w:tc>
        <w:tc>
          <w:tcPr>
            <w:tcW w:w="3364"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lang w:val="en-US" w:eastAsia="zh-CN"/>
              </w:rPr>
              <w:t>国有资本经营预算支出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lang w:val="en-US" w:eastAsia="zh-CN"/>
              </w:rPr>
              <w:t>22301</w:t>
            </w:r>
          </w:p>
        </w:tc>
        <w:tc>
          <w:tcPr>
            <w:tcW w:w="3364"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 xml:space="preserve">  </w:t>
            </w:r>
            <w:r>
              <w:rPr>
                <w:rFonts w:hint="eastAsia" w:ascii="宋体" w:hAnsi="宋体" w:eastAsia="宋体" w:cs="Times New Roman"/>
                <w:color w:val="000000"/>
                <w:sz w:val="18"/>
                <w:szCs w:val="18"/>
                <w:lang w:val="en-US" w:eastAsia="zh-CN"/>
              </w:rPr>
              <w:t>解决历史遗留问题及改革成本支出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lang w:val="en-US" w:eastAsia="zh-CN"/>
              </w:rPr>
              <w:t>2230101</w:t>
            </w:r>
          </w:p>
        </w:tc>
        <w:tc>
          <w:tcPr>
            <w:tcW w:w="3364" w:type="dxa"/>
            <w:noWrap w:val="0"/>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 xml:space="preserve">    </w:t>
            </w:r>
            <w:r>
              <w:rPr>
                <w:rFonts w:hint="eastAsia" w:ascii="宋体" w:hAnsi="宋体" w:eastAsia="宋体" w:cs="Times New Roman"/>
                <w:color w:val="000000"/>
                <w:sz w:val="18"/>
                <w:szCs w:val="18"/>
                <w:lang w:val="en-US" w:eastAsia="zh-CN"/>
              </w:rPr>
              <w:t>厂办大集体改革支出</w:t>
            </w:r>
          </w:p>
        </w:tc>
        <w:tc>
          <w:tcPr>
            <w:tcW w:w="2306"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c>
          <w:tcPr>
            <w:tcW w:w="2835" w:type="dxa"/>
            <w:noWrap w:val="0"/>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noWrap w:val="0"/>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w:t>
            </w:r>
          </w:p>
        </w:tc>
        <w:tc>
          <w:tcPr>
            <w:tcW w:w="3364" w:type="dxa"/>
            <w:noWrap w:val="0"/>
            <w:vAlign w:val="center"/>
          </w:tcPr>
          <w:p>
            <w:pPr>
              <w:widowControl/>
              <w:jc w:val="left"/>
              <w:textAlignment w:val="center"/>
              <w:rPr>
                <w:rFonts w:hint="eastAsia" w:ascii="宋体" w:hAnsi="宋体"/>
                <w:color w:val="000000"/>
                <w:kern w:val="0"/>
                <w:sz w:val="18"/>
                <w:szCs w:val="18"/>
                <w:lang w:eastAsia="zh-CN"/>
              </w:rPr>
            </w:pPr>
            <w:r>
              <w:rPr>
                <w:rFonts w:hint="eastAsia" w:ascii="宋体" w:hAnsi="宋体"/>
                <w:color w:val="000000"/>
                <w:kern w:val="0"/>
                <w:sz w:val="18"/>
                <w:szCs w:val="18"/>
              </w:rPr>
              <w:t>（注：</w:t>
            </w:r>
            <w:r>
              <w:rPr>
                <w:rFonts w:hint="eastAsia" w:ascii="宋体" w:hAnsi="宋体"/>
                <w:color w:val="000000"/>
                <w:kern w:val="0"/>
                <w:sz w:val="18"/>
                <w:szCs w:val="18"/>
                <w:lang w:eastAsia="zh-CN"/>
              </w:rPr>
              <w:t>具体科目请根据单位实际情况填报，模板预制科目如无发生额，请删除。</w:t>
            </w:r>
          </w:p>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如需增加科目请插入新行，否则删除本行。）</w:t>
            </w:r>
          </w:p>
        </w:tc>
        <w:tc>
          <w:tcPr>
            <w:tcW w:w="2306" w:type="dxa"/>
            <w:noWrap w:val="0"/>
            <w:vAlign w:val="center"/>
          </w:tcPr>
          <w:p>
            <w:pPr>
              <w:widowControl/>
              <w:jc w:val="right"/>
              <w:textAlignment w:val="center"/>
              <w:rPr>
                <w:rFonts w:ascii="宋体" w:hAnsi="宋体"/>
                <w:color w:val="000000"/>
                <w:kern w:val="0"/>
                <w:sz w:val="18"/>
                <w:szCs w:val="18"/>
              </w:rPr>
            </w:pPr>
          </w:p>
        </w:tc>
        <w:tc>
          <w:tcPr>
            <w:tcW w:w="2835" w:type="dxa"/>
            <w:noWrap w:val="0"/>
            <w:vAlign w:val="center"/>
          </w:tcPr>
          <w:p>
            <w:pPr>
              <w:widowControl/>
              <w:jc w:val="right"/>
              <w:textAlignment w:val="center"/>
              <w:rPr>
                <w:rFonts w:ascii="宋体" w:hAnsi="宋体"/>
                <w:color w:val="000000"/>
                <w:kern w:val="0"/>
                <w:sz w:val="18"/>
                <w:szCs w:val="18"/>
              </w:rPr>
            </w:pPr>
          </w:p>
        </w:tc>
        <w:tc>
          <w:tcPr>
            <w:tcW w:w="2835" w:type="dxa"/>
            <w:noWrap w:val="0"/>
            <w:vAlign w:val="center"/>
          </w:tcPr>
          <w:p>
            <w:pPr>
              <w:widowControl/>
              <w:jc w:val="right"/>
              <w:textAlignment w:val="center"/>
              <w:rPr>
                <w:rFonts w:ascii="宋体" w:hAnsi="宋体"/>
                <w:color w:val="000000"/>
                <w:kern w:val="0"/>
                <w:sz w:val="18"/>
                <w:szCs w:val="18"/>
              </w:rPr>
            </w:pPr>
          </w:p>
        </w:tc>
      </w:tr>
      <w:bookmarkEnd w:id="33"/>
    </w:tbl>
    <w:p>
      <w:pPr>
        <w:rPr>
          <w:rFonts w:hint="eastAsia" w:ascii="宋体" w:hAnsi="宋体" w:cs="宋体"/>
          <w:color w:val="000000"/>
          <w:kern w:val="0"/>
          <w:sz w:val="18"/>
          <w:szCs w:val="18"/>
          <w:lang w:bidi="ar"/>
        </w:rPr>
      </w:pPr>
      <w:bookmarkStart w:id="35" w:name="PO_part2Table13"/>
      <w:r>
        <w:rPr>
          <w:rFonts w:hint="eastAsia" w:ascii="宋体" w:hAnsi="宋体" w:cs="宋体"/>
          <w:color w:val="000000"/>
          <w:kern w:val="0"/>
          <w:sz w:val="18"/>
          <w:szCs w:val="18"/>
          <w:lang w:bidi="ar"/>
        </w:rPr>
        <w:t>注：</w:t>
      </w:r>
      <w:bookmarkStart w:id="36" w:name="PO_part1remark9"/>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36"/>
      <w:r>
        <w:rPr>
          <w:rFonts w:hint="eastAsia" w:ascii="宋体" w:hAnsi="宋体" w:cs="宋体"/>
          <w:color w:val="000000"/>
          <w:kern w:val="0"/>
          <w:sz w:val="18"/>
          <w:szCs w:val="18"/>
          <w:lang w:bidi="ar"/>
        </w:rPr>
        <w:t xml:space="preserve"> </w:t>
      </w:r>
      <w:bookmarkEnd w:id="35"/>
    </w:p>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p>
    <w:p>
      <w:pPr>
        <w:tabs>
          <w:tab w:val="center" w:pos="6979"/>
        </w:tabs>
        <w:ind w:firstLine="440" w:firstLineChars="100"/>
        <w:jc w:val="center"/>
        <w:rPr>
          <w:rFonts w:ascii="黑体" w:hAnsi="黑体" w:eastAsia="黑体" w:cs="方正小标宋简体"/>
          <w:sz w:val="44"/>
          <w:szCs w:val="44"/>
        </w:rPr>
      </w:pPr>
      <w:r>
        <w:rPr>
          <w:rFonts w:hint="eastAsia" w:ascii="黑体" w:hAnsi="黑体" w:eastAsia="黑体" w:cs="方正小标宋简体"/>
          <w:sz w:val="44"/>
          <w:szCs w:val="44"/>
        </w:rPr>
        <w:t xml:space="preserve">第三部分  </w:t>
      </w:r>
      <w:bookmarkStart w:id="37" w:name="PO_part3Year1"/>
      <w:r>
        <w:rPr>
          <w:rFonts w:hint="eastAsia" w:ascii="黑体" w:hAnsi="黑体" w:eastAsia="黑体" w:cs="方正小标宋简体"/>
          <w:sz w:val="44"/>
          <w:szCs w:val="44"/>
          <w:lang w:val="en-US" w:eastAsia="zh-CN"/>
        </w:rPr>
        <w:t>2023</w:t>
      </w:r>
      <w:r>
        <w:rPr>
          <w:rFonts w:ascii="方正小标宋简体" w:hAnsi="方正小标宋简体" w:eastAsia="方正小标宋简体" w:cs="方正小标宋简体"/>
          <w:sz w:val="11"/>
          <w:szCs w:val="11"/>
        </w:rPr>
        <w:t xml:space="preserve"> </w:t>
      </w:r>
      <w:bookmarkEnd w:id="37"/>
      <w:r>
        <w:rPr>
          <w:rFonts w:hint="eastAsia" w:ascii="黑体" w:hAnsi="黑体" w:eastAsia="黑体" w:cs="方正小标宋简体"/>
          <w:sz w:val="44"/>
          <w:szCs w:val="44"/>
        </w:rPr>
        <w:t>年部门预算情况说明</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部门预算收支增减变化情况</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2"/>
          <w:szCs w:val="32"/>
        </w:rPr>
        <w:t xml:space="preserve">   </w:t>
      </w:r>
      <w:bookmarkStart w:id="38" w:name="PO_part3A1Year1"/>
      <w:r>
        <w:rPr>
          <w:rFonts w:ascii="仿宋_GB2312" w:hAnsi="仿宋_GB2312" w:eastAsia="仿宋_GB2312" w:cs="仿宋_GB2312"/>
          <w:sz w:val="32"/>
          <w:szCs w:val="32"/>
        </w:rPr>
        <w:t xml:space="preserve"> </w:t>
      </w:r>
      <w:r>
        <w:rPr>
          <w:rFonts w:hint="eastAsia" w:ascii="仿宋_GB2312" w:hAnsi="仿宋_GB2312" w:eastAsia="仿宋_GB2312" w:cs="仿宋_GB2312"/>
          <w:sz w:val="30"/>
          <w:szCs w:val="30"/>
          <w:lang w:val="en-US" w:eastAsia="zh-CN"/>
        </w:rPr>
        <w:t>2023</w:t>
      </w:r>
      <w:r>
        <w:rPr>
          <w:rFonts w:ascii="仿宋_GB2312" w:hAnsi="仿宋_GB2312" w:eastAsia="仿宋_GB2312" w:cs="仿宋_GB2312"/>
          <w:sz w:val="11"/>
          <w:szCs w:val="11"/>
        </w:rPr>
        <w:t xml:space="preserve"> </w:t>
      </w:r>
      <w:bookmarkEnd w:id="38"/>
      <w:r>
        <w:rPr>
          <w:rFonts w:hint="eastAsia" w:ascii="仿宋_GB2312" w:hAnsi="仿宋_GB2312" w:eastAsia="仿宋_GB2312" w:cs="仿宋_GB2312"/>
          <w:sz w:val="30"/>
          <w:szCs w:val="30"/>
        </w:rPr>
        <w:t>年本部门收入预算</w:t>
      </w:r>
      <w:bookmarkStart w:id="39" w:name="PO_part3A1Amount1"/>
      <w:r>
        <w:rPr>
          <w:rFonts w:hint="eastAsia" w:ascii="仿宋_GB2312" w:hAnsi="仿宋_GB2312" w:eastAsia="仿宋_GB2312" w:cs="仿宋_GB2312"/>
          <w:sz w:val="30"/>
          <w:szCs w:val="30"/>
          <w:lang w:val="en-US" w:eastAsia="zh-CN"/>
        </w:rPr>
        <w:t>181.06</w:t>
      </w:r>
      <w:r>
        <w:rPr>
          <w:rFonts w:ascii="仿宋_GB2312" w:hAnsi="仿宋_GB2312" w:eastAsia="仿宋_GB2312" w:cs="仿宋_GB2312"/>
          <w:sz w:val="11"/>
          <w:szCs w:val="11"/>
        </w:rPr>
        <w:t xml:space="preserve"> </w:t>
      </w:r>
      <w:bookmarkEnd w:id="39"/>
      <w:r>
        <w:rPr>
          <w:rFonts w:hint="eastAsia" w:ascii="仿宋_GB2312" w:hAnsi="仿宋_GB2312" w:eastAsia="仿宋_GB2312" w:cs="仿宋_GB2312"/>
          <w:sz w:val="30"/>
          <w:szCs w:val="30"/>
        </w:rPr>
        <w:t>万元，比上年</w:t>
      </w:r>
      <w:bookmarkStart w:id="40" w:name="PO_part3A1IncAmount1"/>
      <w:r>
        <w:rPr>
          <w:rFonts w:hint="eastAsia" w:ascii="仿宋_GB2312" w:hAnsi="仿宋_GB2312" w:eastAsia="仿宋_GB2312" w:cs="仿宋_GB2312"/>
          <w:sz w:val="30"/>
          <w:szCs w:val="30"/>
        </w:rPr>
        <w:t>减少</w:t>
      </w:r>
      <w:r>
        <w:rPr>
          <w:rFonts w:hint="eastAsia" w:ascii="仿宋_GB2312" w:hAnsi="仿宋_GB2312" w:eastAsia="仿宋_GB2312" w:cs="仿宋_GB2312"/>
          <w:sz w:val="30"/>
          <w:szCs w:val="30"/>
          <w:lang w:val="en-US" w:eastAsia="zh-CN"/>
        </w:rPr>
        <w:t>6.9</w:t>
      </w:r>
      <w:r>
        <w:rPr>
          <w:rFonts w:ascii="仿宋_GB2312" w:hAnsi="仿宋_GB2312" w:eastAsia="仿宋_GB2312" w:cs="仿宋_GB2312"/>
          <w:sz w:val="11"/>
          <w:szCs w:val="11"/>
        </w:rPr>
        <w:t xml:space="preserve"> </w:t>
      </w:r>
      <w:bookmarkEnd w:id="40"/>
      <w:r>
        <w:rPr>
          <w:rFonts w:hint="eastAsia" w:ascii="仿宋_GB2312" w:hAnsi="仿宋_GB2312" w:eastAsia="仿宋_GB2312" w:cs="仿宋_GB2312"/>
          <w:sz w:val="30"/>
          <w:szCs w:val="30"/>
        </w:rPr>
        <w:t>万元，</w:t>
      </w:r>
      <w:bookmarkStart w:id="41" w:name="PO_part3A1IncPercent1"/>
      <w:r>
        <w:rPr>
          <w:rFonts w:hint="eastAsia" w:ascii="仿宋_GB2312" w:hAnsi="仿宋_GB2312" w:eastAsia="仿宋_GB2312" w:cs="仿宋_GB2312"/>
          <w:sz w:val="30"/>
          <w:szCs w:val="30"/>
        </w:rPr>
        <w:t>增长/下降</w:t>
      </w:r>
      <w:bookmarkEnd w:id="41"/>
      <w:r>
        <w:rPr>
          <w:rFonts w:hint="eastAsia" w:ascii="仿宋_GB2312" w:hAnsi="仿宋_GB2312" w:eastAsia="仿宋_GB2312" w:cs="仿宋_GB2312"/>
          <w:sz w:val="30"/>
          <w:szCs w:val="30"/>
          <w:lang w:val="en-US" w:eastAsia="zh-CN"/>
        </w:rPr>
        <w:t>3.8</w:t>
      </w:r>
      <w:r>
        <w:rPr>
          <w:rFonts w:hint="eastAsia" w:ascii="仿宋_GB2312" w:hAnsi="仿宋_GB2312" w:eastAsia="仿宋_GB2312" w:cs="仿宋_GB2312"/>
          <w:sz w:val="30"/>
          <w:szCs w:val="30"/>
        </w:rPr>
        <w:t>%，主要原因是</w:t>
      </w:r>
      <w:bookmarkStart w:id="42" w:name="PO_part3A1IncReason1"/>
      <w:r>
        <w:rPr>
          <w:rFonts w:hint="eastAsia" w:ascii="仿宋_GB2312" w:hAnsi="仿宋_GB2312" w:eastAsia="仿宋_GB2312" w:cs="仿宋_GB2312"/>
          <w:sz w:val="30"/>
          <w:szCs w:val="30"/>
          <w:lang w:eastAsia="zh-CN"/>
        </w:rPr>
        <w:t>专项业务减少</w:t>
      </w:r>
      <w:r>
        <w:rPr>
          <w:rFonts w:hint="eastAsia" w:ascii="仿宋_GB2312" w:hAnsi="仿宋_GB2312" w:eastAsia="仿宋_GB2312" w:cs="仿宋_GB2312"/>
          <w:sz w:val="11"/>
          <w:szCs w:val="11"/>
        </w:rPr>
        <w:t xml:space="preserve"> </w:t>
      </w:r>
      <w:bookmarkEnd w:id="42"/>
      <w:r>
        <w:rPr>
          <w:rFonts w:hint="eastAsia" w:ascii="仿宋_GB2312" w:hAnsi="仿宋_GB2312" w:eastAsia="仿宋_GB2312" w:cs="仿宋_GB2312"/>
          <w:sz w:val="30"/>
          <w:szCs w:val="30"/>
        </w:rPr>
        <w:t>；支出预算</w:t>
      </w:r>
      <w:bookmarkStart w:id="43" w:name="PO_part3A1Amount2"/>
      <w:r>
        <w:rPr>
          <w:rFonts w:hint="eastAsia" w:ascii="仿宋_GB2312" w:hAnsi="仿宋_GB2312" w:eastAsia="仿宋_GB2312" w:cs="仿宋_GB2312"/>
          <w:sz w:val="30"/>
          <w:szCs w:val="30"/>
          <w:lang w:val="en-US" w:eastAsia="zh-CN"/>
        </w:rPr>
        <w:t>181.06</w:t>
      </w:r>
      <w:r>
        <w:rPr>
          <w:rFonts w:ascii="仿宋_GB2312" w:hAnsi="仿宋_GB2312" w:eastAsia="仿宋_GB2312" w:cs="仿宋_GB2312"/>
          <w:sz w:val="11"/>
          <w:szCs w:val="11"/>
        </w:rPr>
        <w:t xml:space="preserve"> </w:t>
      </w:r>
      <w:bookmarkEnd w:id="43"/>
      <w:r>
        <w:rPr>
          <w:rFonts w:hint="eastAsia" w:ascii="仿宋_GB2312" w:hAnsi="仿宋_GB2312" w:eastAsia="仿宋_GB2312" w:cs="仿宋_GB2312"/>
          <w:sz w:val="30"/>
          <w:szCs w:val="30"/>
        </w:rPr>
        <w:t>万元，比上年减少</w:t>
      </w:r>
      <w:r>
        <w:rPr>
          <w:rFonts w:hint="eastAsia" w:ascii="仿宋_GB2312" w:hAnsi="仿宋_GB2312" w:eastAsia="仿宋_GB2312" w:cs="仿宋_GB2312"/>
          <w:sz w:val="30"/>
          <w:szCs w:val="30"/>
          <w:lang w:val="en-US" w:eastAsia="zh-CN"/>
        </w:rPr>
        <w:t>6.9</w:t>
      </w:r>
      <w:r>
        <w:rPr>
          <w:rFonts w:ascii="仿宋_GB2312" w:hAnsi="仿宋_GB2312" w:eastAsia="仿宋_GB2312" w:cs="仿宋_GB2312"/>
          <w:sz w:val="11"/>
          <w:szCs w:val="11"/>
        </w:rPr>
        <w:t xml:space="preserve"> </w:t>
      </w:r>
      <w:r>
        <w:rPr>
          <w:rFonts w:hint="eastAsia" w:ascii="仿宋_GB2312" w:hAnsi="仿宋_GB2312" w:eastAsia="仿宋_GB2312" w:cs="仿宋_GB2312"/>
          <w:sz w:val="30"/>
          <w:szCs w:val="30"/>
        </w:rPr>
        <w:t>万元，增长/下降</w:t>
      </w:r>
      <w:r>
        <w:rPr>
          <w:rFonts w:hint="eastAsia" w:ascii="仿宋_GB2312" w:hAnsi="仿宋_GB2312" w:eastAsia="仿宋_GB2312" w:cs="仿宋_GB2312"/>
          <w:sz w:val="30"/>
          <w:szCs w:val="30"/>
          <w:lang w:val="en-US" w:eastAsia="zh-CN"/>
        </w:rPr>
        <w:t>3.8</w:t>
      </w:r>
      <w:r>
        <w:rPr>
          <w:rFonts w:hint="eastAsia" w:ascii="仿宋_GB2312" w:hAnsi="仿宋_GB2312" w:eastAsia="仿宋_GB2312" w:cs="仿宋_GB2312"/>
          <w:sz w:val="30"/>
          <w:szCs w:val="30"/>
        </w:rPr>
        <w:t>%，主要原因是</w:t>
      </w:r>
      <w:r>
        <w:rPr>
          <w:rFonts w:hint="eastAsia" w:ascii="仿宋_GB2312" w:hAnsi="仿宋_GB2312" w:eastAsia="仿宋_GB2312" w:cs="仿宋_GB2312"/>
          <w:sz w:val="30"/>
          <w:szCs w:val="30"/>
          <w:lang w:eastAsia="zh-CN"/>
        </w:rPr>
        <w:t>专项业务减少</w:t>
      </w:r>
      <w:r>
        <w:rPr>
          <w:rFonts w:hint="eastAsia" w:ascii="仿宋_GB2312" w:hAnsi="仿宋_GB2312" w:eastAsia="仿宋_GB2312" w:cs="仿宋_GB2312"/>
          <w:sz w:val="11"/>
          <w:szCs w:val="11"/>
        </w:rPr>
        <w:t xml:space="preserve"> </w:t>
      </w:r>
      <w:r>
        <w:rPr>
          <w:rFonts w:hint="eastAsia" w:ascii="仿宋_GB2312" w:hAnsi="仿宋_GB2312" w:eastAsia="仿宋_GB2312" w:cs="仿宋_GB2312"/>
          <w:sz w:val="30"/>
          <w:szCs w:val="30"/>
        </w:rPr>
        <w:t>。</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“三公”经费安排情况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44" w:name="PO_part3A2Year1"/>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2023</w:t>
      </w:r>
      <w:r>
        <w:rPr>
          <w:rFonts w:ascii="仿宋_GB2312" w:hAnsi="仿宋_GB2312" w:eastAsia="仿宋_GB2312" w:cs="仿宋_GB2312"/>
          <w:sz w:val="11"/>
          <w:szCs w:val="11"/>
        </w:rPr>
        <w:t xml:space="preserve"> </w:t>
      </w:r>
      <w:bookmarkEnd w:id="44"/>
      <w:r>
        <w:rPr>
          <w:rFonts w:hint="eastAsia" w:ascii="仿宋_GB2312" w:hAnsi="仿宋_GB2312" w:eastAsia="仿宋_GB2312" w:cs="仿宋_GB2312"/>
          <w:sz w:val="30"/>
          <w:szCs w:val="30"/>
        </w:rPr>
        <w:t>年本部门财政拨款安排“三公”经费</w:t>
      </w:r>
      <w:r>
        <w:rPr>
          <w:rFonts w:hint="eastAsia" w:ascii="仿宋_GB2312" w:hAnsi="仿宋_GB2312" w:eastAsia="仿宋_GB2312" w:cs="仿宋_GB2312"/>
          <w:sz w:val="30"/>
          <w:szCs w:val="30"/>
          <w:lang w:val="en-US" w:eastAsia="zh-CN"/>
        </w:rPr>
        <w:t>3.45</w:t>
      </w:r>
      <w:r>
        <w:rPr>
          <w:rFonts w:hint="eastAsia" w:ascii="仿宋_GB2312" w:hAnsi="仿宋_GB2312" w:eastAsia="仿宋_GB2312" w:cs="仿宋_GB2312"/>
          <w:sz w:val="30"/>
          <w:szCs w:val="30"/>
        </w:rPr>
        <w:t>万元，比上年</w:t>
      </w:r>
      <w:bookmarkStart w:id="45" w:name="PO_part3A2IncAmount1"/>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45"/>
      <w:r>
        <w:rPr>
          <w:rFonts w:hint="eastAsia" w:ascii="仿宋_GB2312" w:hAnsi="仿宋_GB2312" w:eastAsia="仿宋_GB2312" w:cs="仿宋_GB2312"/>
          <w:sz w:val="30"/>
          <w:szCs w:val="30"/>
        </w:rPr>
        <w:t>万元，</w:t>
      </w:r>
      <w:bookmarkStart w:id="46" w:name="PO_part3A2IncPercent1"/>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46"/>
      <w:r>
        <w:rPr>
          <w:rFonts w:hint="eastAsia" w:ascii="仿宋_GB2312" w:hAnsi="仿宋_GB2312" w:eastAsia="仿宋_GB2312" w:cs="仿宋_GB2312"/>
          <w:sz w:val="30"/>
          <w:szCs w:val="30"/>
        </w:rPr>
        <w:t>%，主要原因是</w:t>
      </w:r>
      <w:bookmarkStart w:id="47" w:name="PO_part3A2IncReason1"/>
      <w:r>
        <w:rPr>
          <w:rFonts w:hint="eastAsia" w:ascii="仿宋_GB2312" w:hAnsi="仿宋_GB2312" w:eastAsia="仿宋_GB2312" w:cs="仿宋_GB2312"/>
          <w:sz w:val="30"/>
          <w:szCs w:val="30"/>
        </w:rPr>
        <w:t>与上年持平，无增减变化</w:t>
      </w:r>
      <w:r>
        <w:rPr>
          <w:rFonts w:ascii="仿宋_GB2312" w:hAnsi="仿宋_GB2312" w:eastAsia="仿宋_GB2312" w:cs="仿宋_GB2312"/>
          <w:sz w:val="11"/>
          <w:szCs w:val="11"/>
        </w:rPr>
        <w:t xml:space="preserve"> </w:t>
      </w:r>
      <w:bookmarkEnd w:id="47"/>
      <w:r>
        <w:rPr>
          <w:rFonts w:hint="eastAsia" w:ascii="仿宋_GB2312" w:hAnsi="仿宋_GB2312" w:eastAsia="仿宋_GB2312" w:cs="仿宋_GB2312"/>
          <w:sz w:val="30"/>
          <w:szCs w:val="30"/>
        </w:rPr>
        <w:t>。其中：因公出国（境）费</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万元，比上年</w:t>
      </w:r>
      <w:bookmarkStart w:id="48" w:name="PO_part3A2IncAmount2"/>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48"/>
      <w:r>
        <w:rPr>
          <w:rFonts w:hint="eastAsia" w:ascii="仿宋_GB2312" w:hAnsi="仿宋_GB2312" w:eastAsia="仿宋_GB2312" w:cs="仿宋_GB2312"/>
          <w:sz w:val="30"/>
          <w:szCs w:val="30"/>
        </w:rPr>
        <w:t>万元，</w:t>
      </w:r>
      <w:bookmarkStart w:id="49" w:name="PO_part3A2IncPercent2"/>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49"/>
      <w:r>
        <w:rPr>
          <w:rFonts w:hint="eastAsia" w:ascii="仿宋_GB2312" w:hAnsi="仿宋_GB2312" w:eastAsia="仿宋_GB2312" w:cs="仿宋_GB2312"/>
          <w:sz w:val="30"/>
          <w:szCs w:val="30"/>
        </w:rPr>
        <w:t>%，主要原因是</w:t>
      </w:r>
      <w:bookmarkStart w:id="50" w:name="PO_part3A2IncReason2"/>
      <w:r>
        <w:rPr>
          <w:rFonts w:hint="eastAsia" w:ascii="仿宋_GB2312" w:hAnsi="仿宋_GB2312" w:eastAsia="仿宋_GB2312" w:cs="仿宋_GB2312"/>
          <w:sz w:val="30"/>
          <w:szCs w:val="30"/>
        </w:rPr>
        <w:t>与上年持平，无增减变化</w:t>
      </w:r>
      <w:r>
        <w:rPr>
          <w:rFonts w:hint="eastAsia" w:ascii="仿宋_GB2312" w:hAnsi="仿宋_GB2312" w:eastAsia="仿宋_GB2312" w:cs="仿宋_GB2312"/>
          <w:sz w:val="11"/>
          <w:szCs w:val="11"/>
        </w:rPr>
        <w:t xml:space="preserve"> </w:t>
      </w:r>
      <w:bookmarkEnd w:id="50"/>
      <w:r>
        <w:rPr>
          <w:rFonts w:hint="eastAsia" w:ascii="仿宋_GB2312" w:hAnsi="仿宋_GB2312" w:eastAsia="仿宋_GB2312" w:cs="仿宋_GB2312"/>
          <w:sz w:val="30"/>
          <w:szCs w:val="30"/>
        </w:rPr>
        <w:t>；公务用车购置及运行费</w:t>
      </w:r>
      <w:bookmarkStart w:id="51" w:name="PO_part3A2Amount3"/>
      <w:r>
        <w:rPr>
          <w:rFonts w:hint="eastAsia" w:ascii="仿宋_GB2312" w:hAnsi="仿宋_GB2312" w:eastAsia="仿宋_GB2312" w:cs="仿宋_GB2312"/>
          <w:sz w:val="30"/>
          <w:szCs w:val="30"/>
          <w:lang w:val="en-US" w:eastAsia="zh-CN"/>
        </w:rPr>
        <w:t>3.15</w:t>
      </w:r>
      <w:r>
        <w:rPr>
          <w:rFonts w:ascii="仿宋_GB2312" w:hAnsi="仿宋_GB2312" w:eastAsia="仿宋_GB2312" w:cs="仿宋_GB2312"/>
          <w:sz w:val="11"/>
          <w:szCs w:val="11"/>
        </w:rPr>
        <w:t xml:space="preserve"> </w:t>
      </w:r>
      <w:bookmarkEnd w:id="51"/>
      <w:r>
        <w:rPr>
          <w:rFonts w:hint="eastAsia" w:ascii="仿宋_GB2312" w:hAnsi="仿宋_GB2312" w:eastAsia="仿宋_GB2312" w:cs="仿宋_GB2312"/>
          <w:sz w:val="30"/>
          <w:szCs w:val="30"/>
        </w:rPr>
        <w:t>万元（公务用车购置费</w:t>
      </w:r>
      <w:bookmarkStart w:id="52" w:name="PO_part3A2Amount4"/>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2"/>
      <w:r>
        <w:rPr>
          <w:rFonts w:hint="eastAsia" w:ascii="仿宋_GB2312" w:hAnsi="仿宋_GB2312" w:eastAsia="仿宋_GB2312" w:cs="仿宋_GB2312"/>
          <w:sz w:val="30"/>
          <w:szCs w:val="30"/>
        </w:rPr>
        <w:t>万元，比</w:t>
      </w:r>
      <w:r>
        <w:rPr>
          <w:rFonts w:hint="eastAsia" w:ascii="仿宋_GB2312" w:hAnsi="仿宋_GB2312" w:eastAsia="仿宋_GB2312" w:cs="仿宋_GB2312"/>
          <w:sz w:val="30"/>
          <w:szCs w:val="30"/>
          <w:lang w:eastAsia="zh-CN"/>
        </w:rPr>
        <w:t>上年</w:t>
      </w:r>
      <w:bookmarkStart w:id="53" w:name="PO_part3A2IncAmount5"/>
      <w:r>
        <w:rPr>
          <w:rFonts w:hint="eastAsia" w:ascii="仿宋_GB2312" w:hAnsi="仿宋_GB2312" w:eastAsia="仿宋_GB2312" w:cs="仿宋_GB2312"/>
          <w:sz w:val="30"/>
          <w:szCs w:val="30"/>
        </w:rPr>
        <w:t>增加/减少</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11"/>
          <w:szCs w:val="11"/>
        </w:rPr>
        <w:t xml:space="preserve"> </w:t>
      </w:r>
      <w:bookmarkEnd w:id="53"/>
      <w:r>
        <w:rPr>
          <w:rFonts w:hint="eastAsia" w:ascii="仿宋_GB2312" w:hAnsi="仿宋_GB2312" w:eastAsia="仿宋_GB2312" w:cs="仿宋_GB2312"/>
          <w:sz w:val="30"/>
          <w:szCs w:val="30"/>
          <w:lang w:eastAsia="zh-CN"/>
        </w:rPr>
        <w:t>万元</w:t>
      </w:r>
      <w:r>
        <w:rPr>
          <w:rFonts w:hint="eastAsia" w:ascii="仿宋_GB2312" w:hAnsi="宋体" w:eastAsia="仿宋_GB2312" w:cs="宋体"/>
          <w:sz w:val="32"/>
          <w:szCs w:val="32"/>
          <w:highlight w:val="none"/>
          <w:lang w:eastAsia="zh-CN"/>
        </w:rPr>
        <w:t>；</w:t>
      </w:r>
      <w:r>
        <w:rPr>
          <w:rFonts w:hint="eastAsia" w:ascii="仿宋_GB2312" w:hAnsi="仿宋_GB2312" w:eastAsia="仿宋_GB2312" w:cs="仿宋_GB2312"/>
          <w:sz w:val="30"/>
          <w:szCs w:val="30"/>
        </w:rPr>
        <w:t>公务用车运行维护费</w:t>
      </w:r>
      <w:bookmarkStart w:id="54" w:name="PO_part3A2Amount5"/>
      <w:r>
        <w:rPr>
          <w:rFonts w:hint="eastAsia" w:ascii="仿宋_GB2312" w:hAnsi="仿宋_GB2312" w:eastAsia="仿宋_GB2312" w:cs="仿宋_GB2312"/>
          <w:sz w:val="30"/>
          <w:szCs w:val="30"/>
          <w:lang w:val="en-US" w:eastAsia="zh-CN"/>
        </w:rPr>
        <w:t>3.15</w:t>
      </w:r>
      <w:r>
        <w:rPr>
          <w:rFonts w:ascii="仿宋_GB2312" w:hAnsi="仿宋_GB2312" w:eastAsia="仿宋_GB2312" w:cs="仿宋_GB2312"/>
          <w:sz w:val="11"/>
          <w:szCs w:val="11"/>
        </w:rPr>
        <w:t xml:space="preserve"> </w:t>
      </w:r>
      <w:bookmarkEnd w:id="54"/>
      <w:r>
        <w:rPr>
          <w:rFonts w:hint="eastAsia" w:ascii="仿宋_GB2312" w:hAnsi="仿宋_GB2312" w:eastAsia="仿宋_GB2312" w:cs="仿宋_GB2312"/>
          <w:sz w:val="30"/>
          <w:szCs w:val="30"/>
        </w:rPr>
        <w:t>万元，比</w:t>
      </w:r>
      <w:r>
        <w:rPr>
          <w:rFonts w:hint="eastAsia" w:ascii="仿宋_GB2312" w:hAnsi="仿宋_GB2312" w:eastAsia="仿宋_GB2312" w:cs="仿宋_GB2312"/>
          <w:sz w:val="30"/>
          <w:szCs w:val="30"/>
          <w:lang w:eastAsia="zh-CN"/>
        </w:rPr>
        <w:t>上年</w:t>
      </w:r>
      <w:bookmarkStart w:id="55" w:name="PO_part3A2IncAmount6"/>
      <w:r>
        <w:rPr>
          <w:rFonts w:hint="eastAsia" w:ascii="仿宋_GB2312" w:hAnsi="仿宋_GB2312" w:eastAsia="仿宋_GB2312" w:cs="仿宋_GB2312"/>
          <w:sz w:val="30"/>
          <w:szCs w:val="30"/>
        </w:rPr>
        <w:t>增加/减少</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11"/>
          <w:szCs w:val="11"/>
        </w:rPr>
        <w:t xml:space="preserve"> </w:t>
      </w:r>
      <w:bookmarkEnd w:id="55"/>
      <w:r>
        <w:rPr>
          <w:rFonts w:hint="eastAsia" w:ascii="仿宋_GB2312" w:hAnsi="仿宋_GB2312" w:eastAsia="仿宋_GB2312" w:cs="仿宋_GB2312"/>
          <w:sz w:val="30"/>
          <w:szCs w:val="30"/>
          <w:lang w:eastAsia="zh-CN"/>
        </w:rPr>
        <w:t>万元。）</w:t>
      </w:r>
      <w:r>
        <w:rPr>
          <w:rFonts w:hint="eastAsia" w:ascii="仿宋_GB2312" w:hAnsi="仿宋_GB2312" w:eastAsia="仿宋_GB2312" w:cs="仿宋_GB2312"/>
          <w:sz w:val="30"/>
          <w:szCs w:val="30"/>
        </w:rPr>
        <w:t>比上年</w:t>
      </w:r>
      <w:bookmarkStart w:id="56" w:name="PO_part3A2IncAmount3"/>
      <w:r>
        <w:rPr>
          <w:rFonts w:hint="eastAsia" w:ascii="仿宋_GB2312" w:hAnsi="仿宋_GB2312" w:eastAsia="仿宋_GB2312" w:cs="仿宋_GB2312"/>
          <w:sz w:val="30"/>
          <w:szCs w:val="30"/>
        </w:rPr>
        <w:t>增加/减少</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6"/>
      <w:r>
        <w:rPr>
          <w:rFonts w:hint="eastAsia" w:ascii="仿宋_GB2312" w:hAnsi="仿宋_GB2312" w:eastAsia="仿宋_GB2312" w:cs="仿宋_GB2312"/>
          <w:sz w:val="30"/>
          <w:szCs w:val="30"/>
        </w:rPr>
        <w:t>万元，</w:t>
      </w:r>
      <w:bookmarkStart w:id="57" w:name="PO_part3A2IncPercent3"/>
      <w:r>
        <w:rPr>
          <w:rFonts w:hint="eastAsia" w:ascii="仿宋_GB2312" w:hAnsi="仿宋_GB2312" w:eastAsia="仿宋_GB2312" w:cs="仿宋_GB2312"/>
          <w:sz w:val="30"/>
          <w:szCs w:val="30"/>
        </w:rPr>
        <w:t>增长/下降</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57"/>
      <w:r>
        <w:rPr>
          <w:rFonts w:hint="eastAsia" w:ascii="仿宋_GB2312" w:hAnsi="仿宋_GB2312" w:eastAsia="仿宋_GB2312" w:cs="仿宋_GB2312"/>
          <w:sz w:val="30"/>
          <w:szCs w:val="30"/>
        </w:rPr>
        <w:t>%，主要原因是</w:t>
      </w:r>
      <w:bookmarkStart w:id="58" w:name="PO_part3A2IncReason3"/>
      <w:r>
        <w:rPr>
          <w:rFonts w:hint="eastAsia" w:ascii="仿宋_GB2312" w:hAnsi="仿宋_GB2312" w:eastAsia="仿宋_GB2312" w:cs="仿宋_GB2312"/>
          <w:sz w:val="30"/>
          <w:szCs w:val="30"/>
        </w:rPr>
        <w:t>与上年持平</w:t>
      </w:r>
      <w:r>
        <w:rPr>
          <w:rFonts w:hint="eastAsia" w:ascii="仿宋_GB2312" w:hAnsi="仿宋_GB2312" w:eastAsia="仿宋_GB2312" w:cs="仿宋_GB2312"/>
          <w:sz w:val="11"/>
          <w:szCs w:val="11"/>
        </w:rPr>
        <w:t xml:space="preserve"> </w:t>
      </w:r>
      <w:bookmarkEnd w:id="58"/>
      <w:r>
        <w:rPr>
          <w:rFonts w:hint="eastAsia" w:ascii="仿宋_GB2312" w:hAnsi="仿宋_GB2312" w:eastAsia="仿宋_GB2312" w:cs="仿宋_GB2312"/>
          <w:sz w:val="30"/>
          <w:szCs w:val="30"/>
        </w:rPr>
        <w:t>；公务接待费</w:t>
      </w:r>
      <w:bookmarkStart w:id="59" w:name="PO_part3A2Amount6"/>
      <w:r>
        <w:rPr>
          <w:rFonts w:hint="eastAsia" w:ascii="仿宋_GB2312" w:hAnsi="仿宋_GB2312" w:eastAsia="仿宋_GB2312" w:cs="仿宋_GB2312"/>
          <w:sz w:val="30"/>
          <w:szCs w:val="30"/>
          <w:lang w:val="en-US" w:eastAsia="zh-CN"/>
        </w:rPr>
        <w:t>0.3</w:t>
      </w:r>
      <w:r>
        <w:rPr>
          <w:rFonts w:ascii="仿宋_GB2312" w:hAnsi="仿宋_GB2312" w:eastAsia="仿宋_GB2312" w:cs="仿宋_GB2312"/>
          <w:sz w:val="11"/>
          <w:szCs w:val="11"/>
        </w:rPr>
        <w:t xml:space="preserve"> </w:t>
      </w:r>
      <w:bookmarkEnd w:id="59"/>
      <w:r>
        <w:rPr>
          <w:rFonts w:hint="eastAsia" w:ascii="仿宋_GB2312" w:hAnsi="仿宋_GB2312" w:eastAsia="仿宋_GB2312" w:cs="仿宋_GB2312"/>
          <w:sz w:val="30"/>
          <w:szCs w:val="30"/>
        </w:rPr>
        <w:t>万元，比上年</w:t>
      </w:r>
      <w:bookmarkStart w:id="60" w:name="PO_part3A2IncAmount4"/>
      <w:r>
        <w:rPr>
          <w:rFonts w:hint="eastAsia" w:ascii="仿宋_GB2312" w:hAnsi="仿宋_GB2312" w:eastAsia="仿宋_GB2312" w:cs="仿宋_GB2312"/>
          <w:sz w:val="30"/>
          <w:szCs w:val="30"/>
        </w:rPr>
        <w:t>增加</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60"/>
      <w:r>
        <w:rPr>
          <w:rFonts w:hint="eastAsia" w:ascii="仿宋_GB2312" w:hAnsi="仿宋_GB2312" w:eastAsia="仿宋_GB2312" w:cs="仿宋_GB2312"/>
          <w:sz w:val="30"/>
          <w:szCs w:val="30"/>
        </w:rPr>
        <w:t>万元，</w:t>
      </w:r>
      <w:bookmarkStart w:id="61" w:name="PO_part3A2IncPercent4"/>
      <w:r>
        <w:rPr>
          <w:rFonts w:hint="eastAsia" w:ascii="仿宋_GB2312" w:hAnsi="仿宋_GB2312" w:eastAsia="仿宋_GB2312" w:cs="仿宋_GB2312"/>
          <w:sz w:val="30"/>
          <w:szCs w:val="30"/>
        </w:rPr>
        <w:t>增长</w:t>
      </w:r>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61"/>
      <w:r>
        <w:rPr>
          <w:rFonts w:hint="eastAsia" w:ascii="仿宋_GB2312" w:hAnsi="仿宋_GB2312" w:eastAsia="仿宋_GB2312" w:cs="仿宋_GB2312"/>
          <w:sz w:val="30"/>
          <w:szCs w:val="30"/>
        </w:rPr>
        <w:t>%，主要原因是</w:t>
      </w:r>
      <w:bookmarkStart w:id="62" w:name="PO_part3A2IncReason4"/>
      <w:r>
        <w:rPr>
          <w:rFonts w:hint="eastAsia" w:ascii="仿宋_GB2312" w:hAnsi="仿宋_GB2312" w:eastAsia="仿宋_GB2312" w:cs="仿宋_GB2312"/>
          <w:sz w:val="30"/>
          <w:szCs w:val="30"/>
        </w:rPr>
        <w:t>与上年持平，无增减变化</w:t>
      </w:r>
      <w:r>
        <w:rPr>
          <w:rFonts w:hint="eastAsia" w:ascii="仿宋_GB2312" w:hAnsi="仿宋_GB2312" w:eastAsia="仿宋_GB2312" w:cs="仿宋_GB2312"/>
          <w:sz w:val="11"/>
          <w:szCs w:val="11"/>
        </w:rPr>
        <w:t xml:space="preserve"> </w:t>
      </w:r>
      <w:bookmarkEnd w:id="62"/>
      <w:r>
        <w:rPr>
          <w:rFonts w:hint="eastAsia" w:ascii="仿宋_GB2312" w:hAnsi="仿宋_GB2312" w:eastAsia="仿宋_GB2312" w:cs="仿宋_GB2312"/>
          <w:sz w:val="30"/>
          <w:szCs w:val="30"/>
        </w:rPr>
        <w:t>。</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机关运行经费安排情况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63" w:name="PO_part3A3IncReason1"/>
      <w:r>
        <w:rPr>
          <w:rFonts w:hint="eastAsia" w:ascii="仿宋_GB2312" w:hAnsi="仿宋_GB2312" w:eastAsia="仿宋_GB2312" w:cs="仿宋_GB2312"/>
          <w:sz w:val="30"/>
          <w:szCs w:val="30"/>
        </w:rPr>
        <w:t xml:space="preserve">本部门无机关运行经费。 </w:t>
      </w:r>
      <w:bookmarkEnd w:id="63"/>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政府采购情况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64" w:name="PO_part3A4Year1"/>
      <w:r>
        <w:rPr>
          <w:rFonts w:hint="eastAsia" w:ascii="仿宋_GB2312" w:hAnsi="仿宋_GB2312" w:eastAsia="仿宋_GB2312" w:cs="仿宋_GB2312"/>
          <w:sz w:val="30"/>
          <w:szCs w:val="30"/>
          <w:lang w:val="en-US" w:eastAsia="zh-CN"/>
        </w:rPr>
        <w:t xml:space="preserve"> 2023</w:t>
      </w:r>
      <w:r>
        <w:rPr>
          <w:rFonts w:ascii="仿宋_GB2312" w:hAnsi="仿宋_GB2312" w:eastAsia="仿宋_GB2312" w:cs="仿宋_GB2312"/>
          <w:sz w:val="11"/>
          <w:szCs w:val="11"/>
        </w:rPr>
        <w:t xml:space="preserve"> </w:t>
      </w:r>
      <w:bookmarkEnd w:id="64"/>
      <w:r>
        <w:rPr>
          <w:rFonts w:hint="eastAsia" w:ascii="仿宋_GB2312" w:hAnsi="仿宋_GB2312" w:eastAsia="仿宋_GB2312" w:cs="仿宋_GB2312"/>
          <w:sz w:val="30"/>
          <w:szCs w:val="30"/>
        </w:rPr>
        <w:t>年本部门政府采购安排</w:t>
      </w:r>
      <w:bookmarkStart w:id="65" w:name="PO_part3A4Amount1"/>
      <w:r>
        <w:rPr>
          <w:rFonts w:hint="eastAsia" w:ascii="仿宋_GB2312" w:hAnsi="仿宋_GB2312" w:eastAsia="仿宋_GB2312" w:cs="仿宋_GB2312"/>
          <w:sz w:val="30"/>
          <w:szCs w:val="30"/>
          <w:lang w:val="en-US" w:eastAsia="zh-CN"/>
        </w:rPr>
        <w:t>3.85</w:t>
      </w:r>
      <w:r>
        <w:rPr>
          <w:rFonts w:ascii="仿宋_GB2312" w:hAnsi="仿宋_GB2312" w:eastAsia="仿宋_GB2312" w:cs="仿宋_GB2312"/>
          <w:sz w:val="11"/>
          <w:szCs w:val="11"/>
        </w:rPr>
        <w:t xml:space="preserve"> </w:t>
      </w:r>
      <w:bookmarkEnd w:id="65"/>
      <w:r>
        <w:rPr>
          <w:rFonts w:hint="eastAsia" w:ascii="仿宋_GB2312" w:hAnsi="仿宋_GB2312" w:eastAsia="仿宋_GB2312" w:cs="仿宋_GB2312"/>
          <w:sz w:val="30"/>
          <w:szCs w:val="30"/>
        </w:rPr>
        <w:t>万元，其中：货物类采购预算</w:t>
      </w:r>
      <w:bookmarkStart w:id="66" w:name="PO_part3A4Amount2"/>
      <w:r>
        <w:rPr>
          <w:rFonts w:hint="eastAsia" w:ascii="仿宋_GB2312" w:hAnsi="仿宋_GB2312" w:eastAsia="仿宋_GB2312" w:cs="仿宋_GB2312"/>
          <w:sz w:val="30"/>
          <w:szCs w:val="30"/>
          <w:lang w:val="en-US" w:eastAsia="zh-CN"/>
        </w:rPr>
        <w:t>3.85</w:t>
      </w:r>
      <w:r>
        <w:rPr>
          <w:rFonts w:ascii="仿宋_GB2312" w:hAnsi="仿宋_GB2312" w:eastAsia="仿宋_GB2312" w:cs="仿宋_GB2312"/>
          <w:sz w:val="11"/>
          <w:szCs w:val="11"/>
        </w:rPr>
        <w:t xml:space="preserve"> </w:t>
      </w:r>
      <w:bookmarkEnd w:id="66"/>
      <w:r>
        <w:rPr>
          <w:rFonts w:hint="eastAsia" w:ascii="仿宋_GB2312" w:hAnsi="仿宋_GB2312" w:eastAsia="仿宋_GB2312" w:cs="仿宋_GB2312"/>
          <w:sz w:val="30"/>
          <w:szCs w:val="30"/>
        </w:rPr>
        <w:t>万元，工程类采购预算</w:t>
      </w:r>
      <w:bookmarkStart w:id="67" w:name="PO_part3A4Amount3"/>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67"/>
      <w:r>
        <w:rPr>
          <w:rFonts w:hint="eastAsia" w:ascii="仿宋_GB2312" w:hAnsi="仿宋_GB2312" w:eastAsia="仿宋_GB2312" w:cs="仿宋_GB2312"/>
          <w:sz w:val="30"/>
          <w:szCs w:val="30"/>
        </w:rPr>
        <w:t>万元，服务类采购预算</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万元等。</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国有资产占有使用情况</w:t>
      </w:r>
    </w:p>
    <w:p>
      <w:pPr>
        <w:rPr>
          <w:rFonts w:ascii="仿宋_GB2312" w:hAnsi="仿宋_GB2312" w:eastAsia="仿宋_GB2312" w:cs="仿宋_GB2312"/>
          <w:sz w:val="32"/>
          <w:szCs w:val="32"/>
        </w:rPr>
      </w:pPr>
      <w:r>
        <w:rPr>
          <w:rFonts w:hint="eastAsia" w:ascii="仿宋_GB2312" w:hAnsi="仿宋_GB2312" w:eastAsia="仿宋_GB2312" w:cs="仿宋_GB2312"/>
          <w:sz w:val="30"/>
          <w:szCs w:val="30"/>
        </w:rPr>
        <w:t xml:space="preserve">    截至</w:t>
      </w:r>
      <w:bookmarkStart w:id="68" w:name="PO_part3A5Year1"/>
      <w:r>
        <w:rPr>
          <w:rFonts w:hint="eastAsia" w:ascii="仿宋_GB2312" w:hAnsi="仿宋_GB2312" w:eastAsia="仿宋_GB2312" w:cs="仿宋_GB2312"/>
          <w:sz w:val="30"/>
          <w:szCs w:val="30"/>
          <w:lang w:val="en-US" w:eastAsia="zh-CN"/>
        </w:rPr>
        <w:t>2022</w:t>
      </w:r>
      <w:r>
        <w:rPr>
          <w:rFonts w:ascii="仿宋_GB2312" w:hAnsi="仿宋_GB2312" w:eastAsia="仿宋_GB2312" w:cs="仿宋_GB2312"/>
          <w:sz w:val="11"/>
          <w:szCs w:val="11"/>
        </w:rPr>
        <w:t xml:space="preserve"> </w:t>
      </w:r>
      <w:bookmarkEnd w:id="68"/>
      <w:r>
        <w:rPr>
          <w:rFonts w:hint="eastAsia" w:ascii="仿宋_GB2312" w:hAnsi="仿宋_GB2312" w:eastAsia="仿宋_GB2312" w:cs="仿宋_GB2312"/>
          <w:sz w:val="30"/>
          <w:szCs w:val="30"/>
        </w:rPr>
        <w:t>年</w:t>
      </w:r>
      <w:bookmarkStart w:id="69" w:name="PO_part3A5Month1"/>
      <w:r>
        <w:rPr>
          <w:rFonts w:hint="eastAsia" w:ascii="仿宋_GB2312" w:hAnsi="仿宋_GB2312" w:eastAsia="仿宋_GB2312" w:cs="仿宋_GB2312"/>
          <w:sz w:val="30"/>
          <w:szCs w:val="30"/>
          <w:lang w:val="en-US" w:eastAsia="zh-CN"/>
        </w:rPr>
        <w:t>12</w:t>
      </w:r>
      <w:r>
        <w:rPr>
          <w:rFonts w:ascii="仿宋_GB2312" w:hAnsi="仿宋_GB2312" w:eastAsia="仿宋_GB2312" w:cs="仿宋_GB2312"/>
          <w:sz w:val="11"/>
          <w:szCs w:val="11"/>
        </w:rPr>
        <w:t xml:space="preserve"> </w:t>
      </w:r>
      <w:bookmarkEnd w:id="69"/>
      <w:r>
        <w:rPr>
          <w:rFonts w:hint="eastAsia" w:ascii="仿宋_GB2312" w:hAnsi="仿宋_GB2312" w:eastAsia="仿宋_GB2312" w:cs="仿宋_GB2312"/>
          <w:sz w:val="30"/>
          <w:szCs w:val="30"/>
        </w:rPr>
        <w:t>月</w:t>
      </w:r>
      <w:bookmarkStart w:id="70" w:name="PO_part3A5Date1"/>
      <w:r>
        <w:rPr>
          <w:rFonts w:hint="eastAsia" w:ascii="仿宋_GB2312" w:hAnsi="仿宋_GB2312" w:eastAsia="仿宋_GB2312" w:cs="仿宋_GB2312"/>
          <w:sz w:val="30"/>
          <w:szCs w:val="30"/>
          <w:lang w:val="en-US" w:eastAsia="zh-CN"/>
        </w:rPr>
        <w:t>31</w:t>
      </w:r>
      <w:r>
        <w:rPr>
          <w:rFonts w:ascii="仿宋_GB2312" w:hAnsi="仿宋_GB2312" w:eastAsia="仿宋_GB2312" w:cs="仿宋_GB2312"/>
          <w:sz w:val="11"/>
          <w:szCs w:val="11"/>
        </w:rPr>
        <w:t xml:space="preserve"> </w:t>
      </w:r>
      <w:bookmarkEnd w:id="70"/>
      <w:r>
        <w:rPr>
          <w:rFonts w:hint="eastAsia" w:ascii="仿宋_GB2312" w:hAnsi="仿宋_GB2312" w:eastAsia="仿宋_GB2312" w:cs="仿宋_GB2312"/>
          <w:sz w:val="30"/>
          <w:szCs w:val="30"/>
        </w:rPr>
        <w:t>日，本部门固定资产金额</w:t>
      </w:r>
      <w:r>
        <w:rPr>
          <w:rFonts w:hint="eastAsia" w:ascii="仿宋_GB2312" w:hAnsi="仿宋_GB2312" w:eastAsia="仿宋_GB2312" w:cs="仿宋_GB2312"/>
          <w:sz w:val="30"/>
          <w:szCs w:val="30"/>
          <w:lang w:val="en-US" w:eastAsia="zh-CN"/>
        </w:rPr>
        <w:t>11.836795</w:t>
      </w:r>
      <w:r>
        <w:rPr>
          <w:rFonts w:hint="eastAsia" w:ascii="仿宋_GB2312" w:hAnsi="仿宋_GB2312" w:eastAsia="仿宋_GB2312" w:cs="仿宋_GB2312"/>
          <w:sz w:val="30"/>
          <w:szCs w:val="30"/>
        </w:rPr>
        <w:t>万元，分布构成情况为：房屋</w:t>
      </w:r>
      <w:bookmarkStart w:id="71" w:name="PO_part3A5Sqace1"/>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71"/>
      <w:r>
        <w:rPr>
          <w:rFonts w:hint="eastAsia" w:ascii="仿宋_GB2312" w:hAnsi="仿宋_GB2312" w:eastAsia="仿宋_GB2312" w:cs="仿宋_GB2312"/>
          <w:sz w:val="30"/>
          <w:szCs w:val="30"/>
        </w:rPr>
        <w:t>平方米，车辆</w:t>
      </w:r>
      <w:bookmarkStart w:id="72" w:name="PO_part3A5Car2"/>
      <w:r>
        <w:rPr>
          <w:rFonts w:hint="eastAsia" w:ascii="仿宋_GB2312" w:hAnsi="仿宋_GB2312" w:eastAsia="仿宋_GB2312" w:cs="仿宋_GB2312"/>
          <w:sz w:val="30"/>
          <w:szCs w:val="30"/>
          <w:lang w:val="en-US" w:eastAsia="zh-CN"/>
        </w:rPr>
        <w:t>1</w:t>
      </w:r>
      <w:r>
        <w:rPr>
          <w:rFonts w:ascii="仿宋_GB2312" w:hAnsi="仿宋_GB2312" w:eastAsia="仿宋_GB2312" w:cs="仿宋_GB2312"/>
          <w:sz w:val="11"/>
          <w:szCs w:val="11"/>
        </w:rPr>
        <w:t xml:space="preserve"> </w:t>
      </w:r>
      <w:bookmarkEnd w:id="72"/>
      <w:r>
        <w:rPr>
          <w:rFonts w:hint="eastAsia" w:ascii="仿宋_GB2312" w:hAnsi="仿宋_GB2312" w:eastAsia="仿宋_GB2312" w:cs="仿宋_GB2312"/>
          <w:sz w:val="30"/>
          <w:szCs w:val="30"/>
        </w:rPr>
        <w:t>辆，单价在100万元以上的设备</w:t>
      </w:r>
      <w:bookmarkStart w:id="73" w:name="PO_part3A5Equipment1"/>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73"/>
      <w:r>
        <w:rPr>
          <w:rFonts w:hint="eastAsia" w:ascii="仿宋_GB2312" w:hAnsi="仿宋_GB2312" w:eastAsia="仿宋_GB2312" w:cs="仿宋_GB2312"/>
          <w:sz w:val="30"/>
          <w:szCs w:val="30"/>
        </w:rPr>
        <w:t>台等。本年度拟购置固定资产</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w:t>
      </w:r>
      <w:r>
        <w:rPr>
          <w:rFonts w:hint="eastAsia" w:ascii="仿宋_GB2312" w:hAnsi="仿宋_GB2312" w:eastAsia="仿宋_GB2312" w:cs="仿宋_GB2312"/>
          <w:sz w:val="32"/>
          <w:szCs w:val="32"/>
        </w:rPr>
        <w:t>。</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重点项目预算绩效目标情况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74" w:name="PO_part3A6Year1"/>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2023</w:t>
      </w:r>
      <w:r>
        <w:rPr>
          <w:rFonts w:ascii="仿宋_GB2312" w:hAnsi="仿宋_GB2312" w:eastAsia="仿宋_GB2312" w:cs="仿宋_GB2312"/>
          <w:sz w:val="11"/>
          <w:szCs w:val="11"/>
        </w:rPr>
        <w:t xml:space="preserve"> </w:t>
      </w:r>
      <w:bookmarkEnd w:id="74"/>
      <w:r>
        <w:rPr>
          <w:rFonts w:hint="eastAsia" w:ascii="仿宋_GB2312" w:hAnsi="仿宋_GB2312" w:eastAsia="仿宋_GB2312" w:cs="仿宋_GB2312"/>
          <w:sz w:val="30"/>
          <w:szCs w:val="30"/>
        </w:rPr>
        <w:t>年，本部门重点项目绩效目标情况如下</w:t>
      </w:r>
      <w:r>
        <w:rPr>
          <w:rFonts w:hint="eastAsia" w:ascii="仿宋_GB2312" w:hAnsi="仿宋_GB2312" w:eastAsia="仿宋_GB2312" w:cs="仿宋_GB2312"/>
          <w:sz w:val="32"/>
          <w:szCs w:val="32"/>
        </w:rPr>
        <w:t>：</w:t>
      </w:r>
    </w:p>
    <w:tbl>
      <w:tblPr>
        <w:tblStyle w:val="2"/>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2"/>
        <w:gridCol w:w="1876"/>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noWrap w:val="0"/>
            <w:vAlign w:val="top"/>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项目</w:t>
            </w:r>
          </w:p>
        </w:tc>
        <w:tc>
          <w:tcPr>
            <w:tcW w:w="1876" w:type="dxa"/>
            <w:noWrap w:val="0"/>
            <w:vAlign w:val="top"/>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预算数</w:t>
            </w:r>
          </w:p>
        </w:tc>
        <w:tc>
          <w:tcPr>
            <w:tcW w:w="2880" w:type="dxa"/>
            <w:noWrap w:val="0"/>
            <w:vAlign w:val="top"/>
          </w:tcPr>
          <w:p>
            <w:pPr>
              <w:jc w:val="center"/>
              <w:rPr>
                <w:rFonts w:ascii="方正小标宋简体" w:hAnsi="方正小标宋简体" w:eastAsia="方正小标宋简体" w:cs="方正小标宋简体"/>
                <w:b/>
                <w:sz w:val="22"/>
                <w:szCs w:val="22"/>
              </w:rPr>
            </w:pPr>
            <w:r>
              <w:rPr>
                <w:rFonts w:hint="eastAsia" w:ascii="宋体" w:hAnsi="宋体" w:cs="宋体"/>
                <w:b/>
                <w:sz w:val="22"/>
                <w:szCs w:val="22"/>
              </w:rPr>
              <w:t>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3632" w:type="dxa"/>
            <w:noWrap w:val="0"/>
            <w:vAlign w:val="top"/>
          </w:tcPr>
          <w:p>
            <w:pPr>
              <w:rPr>
                <w:rFonts w:hint="eastAsia" w:eastAsia="宋体"/>
                <w:lang w:val="en-US" w:eastAsia="zh-CN"/>
              </w:rPr>
            </w:pPr>
            <w:bookmarkStart w:id="75" w:name="PO_part3Table6"/>
            <w:r>
              <w:rPr>
                <w:rFonts w:hint="eastAsia"/>
                <w:lang w:val="en-US" w:eastAsia="zh-CN"/>
              </w:rPr>
              <w:t>制服费</w:t>
            </w:r>
          </w:p>
        </w:tc>
        <w:tc>
          <w:tcPr>
            <w:tcW w:w="1876" w:type="dxa"/>
            <w:noWrap w:val="0"/>
            <w:vAlign w:val="top"/>
          </w:tcPr>
          <w:p>
            <w:pPr>
              <w:rPr>
                <w:rFonts w:hint="default" w:eastAsia="宋体"/>
                <w:lang w:val="en-US" w:eastAsia="zh-CN"/>
              </w:rPr>
            </w:pPr>
            <w:r>
              <w:rPr>
                <w:rFonts w:hint="eastAsia" w:ascii="宋体" w:hAnsi="宋体" w:cs="宋体"/>
                <w:color w:val="000000"/>
                <w:sz w:val="20"/>
                <w:szCs w:val="20"/>
                <w:lang w:val="en-US" w:eastAsia="zh-CN"/>
              </w:rPr>
              <w:t>1.3514万</w:t>
            </w:r>
          </w:p>
        </w:tc>
        <w:tc>
          <w:tcPr>
            <w:tcW w:w="2880" w:type="dxa"/>
            <w:noWrap w:val="0"/>
            <w:vAlign w:val="top"/>
          </w:tcPr>
          <w:p>
            <w:r>
              <w:rPr>
                <w:rFonts w:hint="eastAsia" w:ascii="宋体" w:hAnsi="宋体" w:cs="宋体"/>
                <w:color w:val="000000"/>
                <w:sz w:val="20"/>
                <w:szCs w:val="20"/>
              </w:rPr>
              <w:t>提高监督人员形象,增强管理力度,展示工作人员的精神面貌，保障执法业务工作有序进行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2" w:type="dxa"/>
            <w:noWrap w:val="0"/>
            <w:vAlign w:val="top"/>
          </w:tcPr>
          <w:p>
            <w:pPr>
              <w:rPr>
                <w:rFonts w:hint="eastAsia" w:eastAsia="宋体"/>
                <w:lang w:eastAsia="zh-CN"/>
              </w:rPr>
            </w:pPr>
            <w:r>
              <w:rPr>
                <w:rFonts w:hint="eastAsia"/>
                <w:lang w:eastAsia="zh-CN"/>
              </w:rPr>
              <w:t>通用设备购置</w:t>
            </w:r>
          </w:p>
        </w:tc>
        <w:tc>
          <w:tcPr>
            <w:tcW w:w="1876" w:type="dxa"/>
            <w:noWrap w:val="0"/>
            <w:vAlign w:val="top"/>
          </w:tcPr>
          <w:p>
            <w:pPr>
              <w:rPr>
                <w:rFonts w:hint="default" w:eastAsia="宋体"/>
                <w:lang w:val="en-US" w:eastAsia="zh-CN"/>
              </w:rPr>
            </w:pPr>
            <w:r>
              <w:rPr>
                <w:rFonts w:hint="eastAsia" w:ascii="宋体" w:hAnsi="宋体" w:cs="宋体"/>
                <w:color w:val="000000"/>
                <w:sz w:val="20"/>
                <w:szCs w:val="20"/>
                <w:lang w:val="en-US" w:eastAsia="zh-CN"/>
              </w:rPr>
              <w:t>2.5万</w:t>
            </w:r>
          </w:p>
        </w:tc>
        <w:tc>
          <w:tcPr>
            <w:tcW w:w="2880" w:type="dxa"/>
            <w:noWrap w:val="0"/>
            <w:vAlign w:val="top"/>
          </w:tcPr>
          <w:p>
            <w:r>
              <w:rPr>
                <w:rFonts w:hint="eastAsia" w:ascii="宋体" w:hAnsi="宋体" w:cs="宋体"/>
                <w:color w:val="000000"/>
                <w:sz w:val="20"/>
                <w:szCs w:val="20"/>
              </w:rPr>
              <w:t>通过资产卑职，保证工作正常运转，提高工作效率，改善工作条件</w:t>
            </w:r>
          </w:p>
        </w:tc>
      </w:tr>
      <w:bookmarkEnd w:id="75"/>
    </w:tbl>
    <w:p>
      <w:pPr>
        <w:spacing w:line="360" w:lineRule="auto"/>
        <w:rPr>
          <w:rFonts w:ascii="仿宋_GB2312" w:hAnsi="仿宋_GB2312" w:eastAsia="仿宋_GB2312" w:cs="仿宋_GB2312"/>
          <w:sz w:val="32"/>
          <w:szCs w:val="32"/>
        </w:rPr>
      </w:pPr>
      <w:r>
        <w:rPr>
          <w:rFonts w:hint="eastAsia" w:ascii="宋体" w:hAnsi="宋体" w:cs="宋体"/>
          <w:color w:val="000000"/>
          <w:sz w:val="20"/>
          <w:szCs w:val="20"/>
        </w:rPr>
        <w:t>注：</w:t>
      </w:r>
      <w:bookmarkStart w:id="76" w:name="PO_part3remark6"/>
      <w:r>
        <w:rPr>
          <w:rFonts w:hint="eastAsia" w:ascii="宋体" w:hAnsi="宋体" w:cs="宋体"/>
          <w:color w:val="000000"/>
          <w:sz w:val="20"/>
          <w:szCs w:val="20"/>
          <w:lang w:val="en-US" w:eastAsia="zh-CN"/>
        </w:rPr>
        <w:t xml:space="preserve"> </w:t>
      </w:r>
      <w:r>
        <w:rPr>
          <w:rFonts w:hint="eastAsia" w:eastAsia="宋体" w:cs="Times New Roman"/>
          <w:sz w:val="20"/>
          <w:szCs w:val="20"/>
          <w:lang w:eastAsia="zh-CN"/>
        </w:rPr>
        <w:t>请根据实际情况进行备注，如无需备注事项，请写“无”。</w:t>
      </w:r>
      <w:r>
        <w:rPr>
          <w:rFonts w:ascii="仿宋_GB2312" w:hAnsi="仿宋_GB2312" w:eastAsia="仿宋_GB2312" w:cs="仿宋_GB2312"/>
          <w:sz w:val="32"/>
          <w:szCs w:val="32"/>
        </w:rPr>
        <w:t xml:space="preserve"> </w:t>
      </w:r>
      <w:bookmarkEnd w:id="76"/>
    </w:p>
    <w:p>
      <w:pPr>
        <w:ind w:firstLine="640"/>
        <w:rPr>
          <w:rFonts w:hint="eastAsia"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第四部分  名词解释</w:t>
      </w:r>
    </w:p>
    <w:p>
      <w:pPr>
        <w:rPr>
          <w:rFonts w:ascii="方正小标宋简体" w:hAnsi="方正小标宋简体" w:eastAsia="方正小标宋简体" w:cs="方正小标宋简体"/>
          <w:sz w:val="44"/>
          <w:szCs w:val="44"/>
        </w:rPr>
      </w:pPr>
      <w:r>
        <w:rPr>
          <w:rFonts w:hint="eastAsia" w:ascii="仿宋_GB2312" w:eastAsia="仿宋_GB2312"/>
          <w:b/>
          <w:sz w:val="32"/>
          <w:szCs w:val="32"/>
        </w:rPr>
        <w:t xml:space="preserve">   </w:t>
      </w:r>
      <w:bookmarkStart w:id="77" w:name="PO_part4"/>
      <w:r>
        <w:rPr>
          <w:rFonts w:hint="eastAsia" w:ascii="仿宋_GB2312" w:eastAsia="仿宋_GB2312"/>
          <w:b/>
          <w:sz w:val="32"/>
          <w:szCs w:val="32"/>
        </w:rPr>
        <w:t xml:space="preserve"> 一、财政拨款收入：</w:t>
      </w:r>
      <w:r>
        <w:rPr>
          <w:rFonts w:hint="eastAsia" w:ascii="仿宋_GB2312" w:eastAsia="仿宋_GB2312"/>
          <w:sz w:val="32"/>
          <w:szCs w:val="32"/>
        </w:rPr>
        <w:t>指预算单位从本级财政部门取得的财政预算资金收入。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二、事业收入：</w:t>
      </w:r>
      <w:r>
        <w:rPr>
          <w:rFonts w:hint="eastAsia" w:ascii="仿宋_GB2312" w:eastAsia="仿宋_GB2312"/>
          <w:sz w:val="32"/>
          <w:szCs w:val="32"/>
        </w:rPr>
        <w:t>指事业单位开展专业业务活动及辅助活动所取得的收入。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三、经营收入：</w:t>
      </w:r>
      <w:r>
        <w:rPr>
          <w:rFonts w:hint="eastAsia" w:ascii="仿宋_GB2312" w:eastAsia="仿宋_GB2312"/>
          <w:sz w:val="32"/>
          <w:szCs w:val="32"/>
        </w:rPr>
        <w:t>指事业单位在专业业务活动及其辅助活动之外开展非独立核算经营活动取得的收入。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四、其他收入：</w:t>
      </w:r>
      <w:r>
        <w:rPr>
          <w:rFonts w:hint="eastAsia" w:ascii="仿宋_GB2312" w:eastAsia="仿宋_GB2312"/>
          <w:sz w:val="32"/>
          <w:szCs w:val="32"/>
        </w:rPr>
        <w:t>指除上述“财政拨款收入”、“事业收入”、“经营收入”等以外的收入。主要是非本级财政拨款、存款利息收入、事业单位固定资产出租收入等。</w:t>
      </w:r>
    </w:p>
    <w:p>
      <w:pPr>
        <w:spacing w:line="288" w:lineRule="auto"/>
        <w:ind w:left="1"/>
        <w:rPr>
          <w:rFonts w:ascii="仿宋_GB2312" w:eastAsia="仿宋_GB2312"/>
          <w:sz w:val="32"/>
          <w:szCs w:val="32"/>
        </w:rPr>
      </w:pPr>
      <w:r>
        <w:rPr>
          <w:rFonts w:hint="eastAsia" w:ascii="仿宋_GB2312" w:eastAsia="仿宋_GB2312"/>
          <w:b/>
          <w:sz w:val="32"/>
          <w:szCs w:val="32"/>
        </w:rPr>
        <w:t xml:space="preserve">    五、用事业基金弥补收支差额：</w:t>
      </w:r>
      <w:r>
        <w:rPr>
          <w:rFonts w:hint="eastAsia" w:ascii="仿宋_GB2312" w:eastAsia="仿宋_GB2312"/>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left="1"/>
        <w:rPr>
          <w:rFonts w:ascii="仿宋_GB2312" w:eastAsia="仿宋_GB2312"/>
          <w:sz w:val="32"/>
          <w:szCs w:val="32"/>
        </w:rPr>
      </w:pPr>
      <w:r>
        <w:rPr>
          <w:rFonts w:hint="eastAsia" w:ascii="仿宋_GB2312" w:eastAsia="仿宋_GB2312"/>
          <w:b/>
          <w:sz w:val="32"/>
          <w:szCs w:val="32"/>
        </w:rPr>
        <w:t xml:space="preserve">    六、基本支出：</w:t>
      </w:r>
      <w:r>
        <w:rPr>
          <w:rFonts w:hint="eastAsia" w:ascii="仿宋_GB2312" w:eastAsia="仿宋_GB2312"/>
          <w:sz w:val="32"/>
          <w:szCs w:val="32"/>
        </w:rPr>
        <w:t>指为保障机构正常运转、完成日常工作任务而发生的人员支出和公用支出。</w:t>
      </w:r>
    </w:p>
    <w:p>
      <w:pPr>
        <w:spacing w:line="288" w:lineRule="auto"/>
        <w:ind w:left="1"/>
        <w:rPr>
          <w:rFonts w:ascii="仿宋_GB2312" w:eastAsia="仿宋_GB2312"/>
          <w:sz w:val="32"/>
          <w:szCs w:val="32"/>
        </w:rPr>
      </w:pPr>
      <w:r>
        <w:rPr>
          <w:rFonts w:hint="eastAsia" w:ascii="仿宋_GB2312" w:eastAsia="仿宋_GB2312"/>
          <w:b/>
          <w:sz w:val="32"/>
          <w:szCs w:val="32"/>
        </w:rPr>
        <w:t xml:space="preserve">    七、项目支出：</w:t>
      </w:r>
      <w:r>
        <w:rPr>
          <w:rFonts w:hint="eastAsia" w:ascii="仿宋_GB2312" w:eastAsia="仿宋_GB2312"/>
          <w:sz w:val="32"/>
          <w:szCs w:val="32"/>
        </w:rPr>
        <w:t>指在基本支出之外为完成特定行政任务和事业发展目标所发生的支出。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八、经营支出：</w:t>
      </w:r>
      <w:r>
        <w:rPr>
          <w:rFonts w:hint="eastAsia" w:ascii="仿宋_GB2312" w:eastAsia="仿宋_GB2312"/>
          <w:sz w:val="32"/>
          <w:szCs w:val="32"/>
        </w:rPr>
        <w:t>指事业单位在专业业务活动及其辅助活动之外开展非独立核算经营活动所发生的支出。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九、行政经费（机关运行经费）：</w:t>
      </w:r>
      <w:r>
        <w:rPr>
          <w:rFonts w:hint="eastAsia" w:ascii="仿宋_GB2312" w:eastAsia="仿宋_GB2312"/>
          <w:sz w:val="32"/>
          <w:szCs w:val="32"/>
        </w:rPr>
        <w:t>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p>
    <w:p>
      <w:pPr>
        <w:spacing w:line="288" w:lineRule="auto"/>
        <w:rPr>
          <w:rFonts w:hint="eastAsia" w:ascii="仿宋_GB2312" w:eastAsia="仿宋_GB2312"/>
          <w:sz w:val="32"/>
          <w:szCs w:val="32"/>
        </w:rPr>
      </w:pPr>
      <w:r>
        <w:rPr>
          <w:rFonts w:hint="eastAsia" w:ascii="仿宋_GB2312" w:eastAsia="仿宋_GB2312"/>
          <w:b/>
          <w:sz w:val="32"/>
          <w:szCs w:val="32"/>
        </w:rPr>
        <w:t xml:space="preserve">    十、“三公”经费：</w:t>
      </w:r>
      <w:r>
        <w:rPr>
          <w:rFonts w:hint="eastAsia" w:ascii="仿宋_GB2312" w:eastAsia="仿宋_GB2312"/>
          <w:sz w:val="32"/>
          <w:szCs w:val="32"/>
        </w:rPr>
        <w:t>指省直行政（参公）单位、事业单位用于因公出国（境）、公务用车购置及运行维护、公务接待的经费。其中：因公出国（境）经费具体包括公务出国（境）的住宿费、差旅费、伙食补助费、杂费、培训费等支出；公务用车购置及运行维护费具体包括公务用车购置费、公务用车租用费、燃料费、维修费、过桥过路费、保险费等支出；公务接待费具体包括按规定开支的各类公务接待（外宾接待）费用。</w:t>
      </w:r>
    </w:p>
    <w:p>
      <w:pPr>
        <w:spacing w:line="288" w:lineRule="auto"/>
        <w:ind w:left="1"/>
      </w:pPr>
      <w:r>
        <w:rPr>
          <w:rFonts w:hint="eastAsia" w:ascii="楷体_GB2312" w:hAnsi="楷体_GB2312" w:eastAsia="楷体_GB2312" w:cs="楷体_GB2312"/>
          <w:sz w:val="32"/>
          <w:szCs w:val="32"/>
        </w:rPr>
        <w:t xml:space="preserve">    【</w:t>
      </w:r>
      <w:r>
        <w:rPr>
          <w:rFonts w:hint="eastAsia" w:ascii="楷体_GB2312" w:hAnsi="楷体_GB2312" w:eastAsia="楷体_GB2312" w:cs="楷体_GB2312"/>
          <w:b/>
          <w:bCs/>
          <w:sz w:val="32"/>
          <w:szCs w:val="32"/>
        </w:rPr>
        <w:t>说明</w:t>
      </w:r>
      <w:r>
        <w:rPr>
          <w:rFonts w:hint="eastAsia" w:ascii="楷体_GB2312" w:hAnsi="楷体_GB2312" w:eastAsia="楷体_GB2312" w:cs="楷体_GB2312"/>
          <w:sz w:val="32"/>
          <w:szCs w:val="32"/>
        </w:rPr>
        <w:t>：本项为必须公开内容，可解释本部门预算特有的较为专业的名词，或是财政预算编制方面名词（以下名词解释供参考，各部门可以根据实际情况自行增加）】</w:t>
      </w:r>
      <w:r>
        <w:rPr>
          <w:rFonts w:hint="eastAsia" w:ascii="仿宋_GB2312" w:eastAsia="仿宋_GB2312"/>
          <w:sz w:val="32"/>
          <w:szCs w:val="32"/>
        </w:rPr>
        <w:t xml:space="preserve"> </w:t>
      </w:r>
      <w:bookmarkEnd w:id="77"/>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2250"/>
    <w:multiLevelType w:val="singleLevel"/>
    <w:tmpl w:val="5A5F2250"/>
    <w:lvl w:ilvl="0" w:tentative="0">
      <w:start w:val="1"/>
      <w:numFmt w:val="chineseCounting"/>
      <w:suff w:val="nothing"/>
      <w:lvlText w:val="%1、"/>
      <w:lvlJc w:val="left"/>
    </w:lvl>
  </w:abstractNum>
  <w:abstractNum w:abstractNumId="1">
    <w:nsid w:val="5A5F2A51"/>
    <w:multiLevelType w:val="singleLevel"/>
    <w:tmpl w:val="5A5F2A51"/>
    <w:lvl w:ilvl="0" w:tentative="0">
      <w:start w:val="1"/>
      <w:numFmt w:val="chineseCounting"/>
      <w:suff w:val="nothing"/>
      <w:lvlText w:val="%1、"/>
      <w:lvlJc w:val="left"/>
    </w:lvl>
  </w:abstractNum>
  <w:abstractNum w:abstractNumId="2">
    <w:nsid w:val="5A600927"/>
    <w:multiLevelType w:val="singleLevel"/>
    <w:tmpl w:val="5A600927"/>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2A3CE4"/>
    <w:rsid w:val="030F2613"/>
    <w:rsid w:val="078E014B"/>
    <w:rsid w:val="09F73F1C"/>
    <w:rsid w:val="312A3CE4"/>
    <w:rsid w:val="504C1E65"/>
    <w:rsid w:val="7D7D4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中山市卫生监督所</Company>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2023-02-22T07:14:00Z</dcterms:created>
  <dc:creator>（南朗）谭德樱（收文）</dc:creator>
  <cp:lastModifiedBy>yoyo</cp:lastModifiedBy>
  <dcterms:modified xsi:type="dcterms:W3CDTF">2023-02-24T07:21:25Z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