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关于变更粤（2022）中山市不动产权第0027321号用地规划条件公示的通告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hint="eastAsia" w:ascii="仿宋_GB2312" w:hAnsi="微软雅黑" w:eastAsia="仿宋_GB2312"/>
          <w:color w:val="333333"/>
          <w:sz w:val="28"/>
          <w:szCs w:val="28"/>
        </w:rPr>
      </w:pP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drawing>
          <wp:inline distT="0" distB="0" distL="114300" distR="114300">
            <wp:extent cx="5229225" cy="3429000"/>
            <wp:effectExtent l="0" t="0" r="9525" b="0"/>
            <wp:docPr id="1" name="图片 1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不动产证号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为粤（2022）中山市不动产权第0027321号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用地位于中山市横栏镇横西八一街131号，用地面积为109.88平方米，土地使用权人为</w:t>
      </w:r>
      <w:bookmarkStart w:id="0" w:name="_GoBack"/>
      <w:r>
        <w:rPr>
          <w:rFonts w:hint="eastAsia" w:ascii="仿宋_GB2312" w:hAnsi="微软雅黑" w:eastAsia="仿宋_GB2312"/>
          <w:color w:val="333333"/>
          <w:sz w:val="28"/>
          <w:szCs w:val="28"/>
        </w:rPr>
        <w:t>叶培坤</w:t>
      </w:r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，现土地使用权人申请变更该宗用地规划条件。我局已受理其申请，根据公开、公平、公正原则，现对该宗地规划条件变更进行公示，公示如下：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该用地在总规中部分为村庄建设用地，部分为农林用地，在土规中大部分为建设用地，少部分为基本农田保护区，位于《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横栏镇横西村西部片区控制性详细规划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》中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A-06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地块上规划为二类居住用地。办理规划报建时建筑面积不超过350平方米，建筑层数不得超过3.5 层，首层不高于4.5米，其余每层不高于3.5米，总高不超过15米，第4层只允许建梯间及辅助用房，面积不得超过基底面积的一半；建筑屋面为坡屋面时，建筑高度计算至檐口与屋脊的平均高度；不得设计成出租屋、宿舍、公寓等非自建自住性质建筑。该用地为宅基地。</w:t>
      </w: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564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jc w:val="right"/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中山市自然资源局第二分局                                 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02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08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8675D"/>
    <w:rsid w:val="325E5B03"/>
    <w:rsid w:val="353C48BF"/>
    <w:rsid w:val="6428675D"/>
    <w:rsid w:val="7C033D58"/>
    <w:rsid w:val="7F51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ind w:left="109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2022-08-30T01:36:00Z</dcterms:created>
  <dc:creator>龚凯恩</dc:creator>
  <cp:lastModifiedBy>龚凯恩</cp:lastModifiedBy>
  <dcterms:modified xsi:type="dcterms:W3CDTF">2023-02-08T03:49:13Z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