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黑体" w:hAnsi="黑体" w:eastAsia="黑体" w:cs="黑体"/>
          <w:kern w:val="0"/>
          <w:sz w:val="32"/>
          <w:szCs w:val="32"/>
        </w:rPr>
      </w:pPr>
      <w:bookmarkStart w:id="0" w:name="_Toc106865466"/>
      <w:bookmarkStart w:id="8" w:name="_GoBack"/>
      <w:bookmarkEnd w:id="8"/>
      <w:r>
        <w:rPr>
          <w:rFonts w:hint="eastAsia" w:ascii="黑体" w:hAnsi="黑体" w:eastAsia="黑体" w:cs="黑体"/>
          <w:kern w:val="0"/>
          <w:sz w:val="32"/>
          <w:szCs w:val="32"/>
        </w:rPr>
        <w:t>附件4</w:t>
      </w:r>
      <w:bookmarkEnd w:id="0"/>
    </w:p>
    <w:p>
      <w:pPr>
        <w:spacing w:before="163"/>
        <w:jc w:val="center"/>
        <w:rPr>
          <w:rFonts w:ascii="Times New Roman" w:hAnsi="Times New Roman" w:eastAsia="仿宋" w:cs="Times New Roman"/>
          <w:sz w:val="21"/>
          <w:szCs w:val="22"/>
        </w:rPr>
      </w:pPr>
    </w:p>
    <w:p>
      <w:pPr>
        <w:spacing w:before="163"/>
        <w:jc w:val="center"/>
        <w:rPr>
          <w:rFonts w:ascii="Times New Roman" w:hAnsi="Times New Roman" w:eastAsia="仿宋" w:cs="Times New Roman"/>
          <w:sz w:val="21"/>
          <w:szCs w:val="22"/>
        </w:rPr>
      </w:pPr>
    </w:p>
    <w:p>
      <w:pPr>
        <w:spacing w:before="163"/>
        <w:jc w:val="center"/>
        <w:rPr>
          <w:rFonts w:ascii="Times New Roman" w:hAnsi="Times New Roman" w:eastAsia="仿宋" w:cs="Times New Roman"/>
          <w:sz w:val="21"/>
          <w:szCs w:val="22"/>
        </w:rPr>
      </w:pPr>
    </w:p>
    <w:p>
      <w:pPr>
        <w:spacing w:before="163"/>
        <w:jc w:val="center"/>
        <w:rPr>
          <w:rFonts w:ascii="Times New Roman" w:hAnsi="Times New Roman" w:eastAsia="仿宋" w:cs="Times New Roman"/>
          <w:sz w:val="21"/>
          <w:szCs w:val="22"/>
        </w:rPr>
      </w:pPr>
    </w:p>
    <w:p>
      <w:pPr>
        <w:widowControl w:val="0"/>
        <w:adjustRightInd w:val="0"/>
        <w:snapToGrid w:val="0"/>
        <w:spacing w:before="240" w:beforeLines="0" w:line="360" w:lineRule="auto"/>
        <w:jc w:val="center"/>
        <w:outlineLvl w:val="0"/>
        <w:rPr>
          <w:rFonts w:hint="eastAsia" w:ascii="仿宋_GB2312" w:hAnsi="仿宋_GB2312" w:eastAsia="仿宋_GB2312" w:cs="仿宋_GB2312"/>
          <w:b/>
          <w:bCs/>
          <w:kern w:val="0"/>
          <w:sz w:val="52"/>
          <w:szCs w:val="32"/>
          <w:lang w:val="en-US" w:eastAsia="zh-CN" w:bidi="ar-SA"/>
        </w:rPr>
      </w:pPr>
      <w:bookmarkStart w:id="1" w:name="_Toc106865468"/>
      <w:r>
        <w:rPr>
          <w:rFonts w:hint="eastAsia" w:ascii="仿宋_GB2312" w:hAnsi="仿宋_GB2312" w:eastAsia="仿宋_GB2312" w:cs="仿宋_GB2312"/>
          <w:b/>
          <w:bCs/>
          <w:kern w:val="0"/>
          <w:sz w:val="52"/>
          <w:szCs w:val="32"/>
          <w:lang w:val="en-US" w:eastAsia="zh-CN" w:bidi="ar-SA"/>
        </w:rPr>
        <w:t>XX环保共性产业园</w:t>
      </w:r>
    </w:p>
    <w:p>
      <w:pPr>
        <w:widowControl w:val="0"/>
        <w:adjustRightInd w:val="0"/>
        <w:snapToGrid w:val="0"/>
        <w:spacing w:before="240" w:beforeLines="0" w:line="360" w:lineRule="auto"/>
        <w:jc w:val="center"/>
        <w:outlineLvl w:val="0"/>
        <w:rPr>
          <w:rFonts w:hint="eastAsia" w:ascii="仿宋_GB2312" w:hAnsi="仿宋_GB2312" w:eastAsia="仿宋_GB2312" w:cs="仿宋_GB2312"/>
          <w:b/>
          <w:bCs/>
          <w:spacing w:val="-14"/>
          <w:kern w:val="0"/>
          <w:sz w:val="52"/>
          <w:szCs w:val="32"/>
          <w:lang w:val="en-US" w:eastAsia="zh-CN" w:bidi="ar-SA"/>
        </w:rPr>
      </w:pPr>
      <w:r>
        <w:rPr>
          <w:rFonts w:hint="eastAsia" w:ascii="仿宋_GB2312" w:hAnsi="仿宋_GB2312" w:eastAsia="仿宋_GB2312" w:cs="仿宋_GB2312"/>
          <w:b/>
          <w:bCs/>
          <w:kern w:val="0"/>
          <w:sz w:val="52"/>
          <w:szCs w:val="32"/>
          <w:lang w:val="en-US" w:eastAsia="zh-CN" w:bidi="ar-SA"/>
        </w:rPr>
        <w:t>环境管理评估报告</w:t>
      </w:r>
      <w:bookmarkEnd w:id="1"/>
    </w:p>
    <w:p>
      <w:pPr>
        <w:widowControl w:val="0"/>
        <w:adjustRightInd w:val="0"/>
        <w:snapToGrid w:val="0"/>
        <w:spacing w:before="163" w:beforeLines="0" w:line="360" w:lineRule="auto"/>
        <w:jc w:val="center"/>
        <w:outlineLvl w:val="0"/>
        <w:rPr>
          <w:rFonts w:hint="eastAsia" w:ascii="仿宋_GB2312" w:hAnsi="仿宋_GB2312" w:eastAsia="仿宋_GB2312" w:cs="仿宋_GB2312"/>
          <w:b/>
          <w:bCs/>
          <w:kern w:val="0"/>
          <w:sz w:val="52"/>
          <w:szCs w:val="32"/>
          <w:lang w:val="en-US" w:eastAsia="zh-CN" w:bidi="ar-SA"/>
        </w:rPr>
      </w:pPr>
      <w:bookmarkStart w:id="2" w:name="_Toc106865469"/>
      <w:r>
        <w:rPr>
          <w:rFonts w:hint="eastAsia" w:ascii="仿宋_GB2312" w:hAnsi="仿宋_GB2312" w:eastAsia="仿宋_GB2312" w:cs="仿宋_GB2312"/>
          <w:b/>
          <w:bCs/>
          <w:kern w:val="0"/>
          <w:sz w:val="52"/>
          <w:szCs w:val="32"/>
          <w:lang w:val="en-US" w:eastAsia="zh-CN" w:bidi="ar-SA"/>
        </w:rPr>
        <w:t>（202x年度-202x年度）</w:t>
      </w:r>
      <w:bookmarkEnd w:id="2"/>
    </w:p>
    <w:p>
      <w:pPr>
        <w:spacing w:before="163"/>
        <w:ind w:firstLine="480"/>
        <w:rPr>
          <w:rFonts w:hint="eastAsia" w:ascii="仿宋_GB2312" w:hAnsi="仿宋_GB2312" w:eastAsia="仿宋_GB2312" w:cs="仿宋_GB2312"/>
          <w:sz w:val="21"/>
          <w:szCs w:val="22"/>
        </w:rPr>
      </w:pPr>
    </w:p>
    <w:p>
      <w:pPr>
        <w:jc w:val="center"/>
        <w:outlineLvl w:val="1"/>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（模板）</w:t>
      </w:r>
    </w:p>
    <w:p>
      <w:pPr>
        <w:spacing w:before="163"/>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spacing w:before="16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（园区形象照片）</w:t>
      </w:r>
    </w:p>
    <w:p>
      <w:pPr>
        <w:spacing w:before="163"/>
        <w:ind w:firstLine="480"/>
        <w:rPr>
          <w:rFonts w:hint="eastAsia" w:ascii="仿宋_GB2312" w:hAnsi="仿宋_GB2312" w:eastAsia="仿宋_GB2312" w:cs="仿宋_GB2312"/>
          <w:sz w:val="21"/>
          <w:szCs w:val="22"/>
        </w:rPr>
      </w:pPr>
    </w:p>
    <w:p>
      <w:pPr>
        <w:spacing w:before="163"/>
        <w:ind w:firstLine="480"/>
        <w:rPr>
          <w:rFonts w:hint="eastAsia" w:ascii="仿宋_GB2312" w:hAnsi="仿宋_GB2312" w:eastAsia="仿宋_GB2312" w:cs="仿宋_GB2312"/>
          <w:sz w:val="21"/>
          <w:szCs w:val="22"/>
        </w:rPr>
      </w:pPr>
    </w:p>
    <w:p>
      <w:pPr>
        <w:widowControl w:val="0"/>
        <w:autoSpaceDE w:val="0"/>
        <w:autoSpaceDN w:val="0"/>
        <w:adjustRightInd w:val="0"/>
        <w:jc w:val="center"/>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申请单位（盖章）：</w:t>
      </w:r>
    </w:p>
    <w:p>
      <w:pPr>
        <w:jc w:val="center"/>
        <w:rPr>
          <w:rFonts w:hint="eastAsia" w:ascii="仿宋_GB2312" w:hAnsi="仿宋_GB2312" w:eastAsia="仿宋_GB2312" w:cs="仿宋_GB2312"/>
          <w:color w:val="auto"/>
          <w:sz w:val="32"/>
          <w:szCs w:val="32"/>
        </w:rPr>
        <w:sectPr>
          <w:pgSz w:w="11906" w:h="16838"/>
          <w:pgMar w:top="1361" w:right="1474" w:bottom="1361" w:left="1474" w:header="510" w:footer="567" w:gutter="0"/>
          <w:pgNumType w:fmt="decimal"/>
          <w:cols w:space="720" w:num="1"/>
          <w:docGrid w:type="lines" w:linePitch="326" w:charSpace="0"/>
        </w:sectPr>
      </w:pPr>
      <w:r>
        <w:rPr>
          <w:rFonts w:hint="eastAsia" w:ascii="仿宋_GB2312" w:hAnsi="仿宋_GB2312" w:eastAsia="仿宋_GB2312" w:cs="仿宋_GB2312"/>
          <w:color w:val="auto"/>
          <w:sz w:val="32"/>
          <w:szCs w:val="32"/>
          <w:lang w:val="en-US" w:eastAsia="zh-CN" w:bidi="ar-SA"/>
        </w:rPr>
        <w:t>报告日期：xx年x月x日</w:t>
      </w:r>
    </w:p>
    <w:p>
      <w:pPr>
        <w:widowControl w:val="0"/>
        <w:autoSpaceDE w:val="0"/>
        <w:autoSpaceDN w:val="0"/>
        <w:adjustRightInd w:val="0"/>
        <w:spacing w:line="300" w:lineRule="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××产业园年度执行报告（202X年度）编制小组成员名单： </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姓名、单位、职务或职称、联系方式、备注</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（申报单位）承诺（盖章）：</w:t>
      </w:r>
    </w:p>
    <w:p>
      <w:pPr>
        <w:widowControl w:val="0"/>
        <w:numPr>
          <w:ilvl w:val="0"/>
          <w:numId w:val="1"/>
        </w:numPr>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我们对本报告内容的合法性、真实性和完整性负责。</w:t>
      </w:r>
    </w:p>
    <w:p>
      <w:pPr>
        <w:widowControl w:val="0"/>
        <w:numPr>
          <w:ilvl w:val="0"/>
          <w:numId w:val="1"/>
        </w:numPr>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本报告的内容可以公开（注：如不能公开，请明确不能公开的内容及原因，否则，默认本报告内容可以全部公开）。</w:t>
      </w: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widowControl w:val="0"/>
        <w:autoSpaceDE w:val="0"/>
        <w:autoSpaceDN w:val="0"/>
        <w:adjustRightInd w:val="0"/>
        <w:spacing w:line="300" w:lineRule="auto"/>
        <w:ind w:firstLine="567"/>
        <w:rPr>
          <w:rFonts w:hint="eastAsia" w:ascii="仿宋_GB2312" w:hAnsi="仿宋_GB2312" w:eastAsia="仿宋_GB2312" w:cs="仿宋_GB2312"/>
          <w:color w:val="auto"/>
          <w:sz w:val="32"/>
          <w:szCs w:val="32"/>
          <w:lang w:val="en-US" w:eastAsia="zh-CN" w:bidi="ar-SA"/>
        </w:rPr>
      </w:pP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bookmarkStart w:id="3" w:name="_Toc106865470"/>
      <w:r>
        <w:rPr>
          <w:rFonts w:hint="eastAsia" w:ascii="仿宋_GB2312" w:hAnsi="仿宋_GB2312" w:eastAsia="仿宋_GB2312" w:cs="仿宋_GB2312"/>
          <w:b/>
          <w:bCs/>
          <w:kern w:val="44"/>
          <w:sz w:val="44"/>
          <w:szCs w:val="44"/>
          <w:lang w:val="zh-CN" w:eastAsia="zh-CN" w:bidi="ar-SA"/>
        </w:rPr>
        <w:t>目 录</w:t>
      </w:r>
      <w:bookmarkEnd w:id="3"/>
    </w:p>
    <w:p>
      <w:pPr>
        <w:widowControl/>
        <w:tabs>
          <w:tab w:val="right" w:leader="dot" w:pos="8948"/>
        </w:tabs>
        <w:ind w:left="640" w:leftChars="200"/>
        <w:jc w:val="left"/>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kern w:val="0"/>
          <w:sz w:val="28"/>
          <w:szCs w:val="28"/>
          <w:lang w:val="en-US" w:eastAsia="zh-CN" w:bidi="ar-SA"/>
        </w:rPr>
        <w:fldChar w:fldCharType="begin"/>
      </w:r>
      <w:r>
        <w:rPr>
          <w:rFonts w:hint="eastAsia" w:ascii="仿宋_GB2312" w:hAnsi="仿宋_GB2312" w:eastAsia="仿宋_GB2312" w:cs="仿宋_GB2312"/>
          <w:kern w:val="0"/>
          <w:sz w:val="28"/>
          <w:szCs w:val="28"/>
          <w:lang w:val="en-US" w:eastAsia="zh-CN" w:bidi="ar-SA"/>
        </w:rPr>
        <w:instrText xml:space="preserve"> TOC \o "1-3" \h \z \u </w:instrText>
      </w:r>
      <w:r>
        <w:rPr>
          <w:rFonts w:hint="eastAsia" w:ascii="仿宋_GB2312" w:hAnsi="仿宋_GB2312" w:eastAsia="仿宋_GB2312" w:cs="仿宋_GB2312"/>
          <w:kern w:val="0"/>
          <w:sz w:val="28"/>
          <w:szCs w:val="28"/>
          <w:lang w:val="en-US" w:eastAsia="zh-CN" w:bidi="ar-SA"/>
        </w:rPr>
        <w:fldChar w:fldCharType="separate"/>
      </w:r>
    </w:p>
    <w:p>
      <w:pPr>
        <w:tabs>
          <w:tab w:val="left" w:pos="567"/>
        </w:tabs>
        <w:spacing w:before="163"/>
        <w:ind w:firstLine="280" w:firstLineChars="100"/>
        <w:rPr>
          <w:rFonts w:hint="eastAsia" w:ascii="仿宋_GB2312" w:hAnsi="仿宋_GB2312" w:eastAsia="仿宋_GB2312" w:cs="仿宋_GB2312"/>
          <w:sz w:val="21"/>
          <w:szCs w:val="22"/>
        </w:rPr>
      </w:pPr>
      <w:r>
        <w:rPr>
          <w:rFonts w:hint="eastAsia" w:ascii="仿宋_GB2312" w:hAnsi="仿宋_GB2312" w:eastAsia="仿宋_GB2312" w:cs="仿宋_GB2312"/>
          <w:b/>
          <w:sz w:val="28"/>
          <w:szCs w:val="28"/>
        </w:rPr>
        <w:fldChar w:fldCharType="end"/>
      </w:r>
    </w:p>
    <w:p>
      <w:pPr>
        <w:spacing w:before="163"/>
        <w:ind w:firstLine="480"/>
        <w:rPr>
          <w:rFonts w:hint="eastAsia" w:ascii="仿宋_GB2312" w:hAnsi="仿宋_GB2312" w:eastAsia="仿宋_GB2312" w:cs="仿宋_GB2312"/>
          <w:sz w:val="21"/>
          <w:szCs w:val="22"/>
        </w:rPr>
      </w:pPr>
    </w:p>
    <w:p>
      <w:pPr>
        <w:spacing w:before="163" w:after="163"/>
        <w:rPr>
          <w:rFonts w:hint="eastAsia" w:ascii="仿宋_GB2312" w:hAnsi="仿宋_GB2312" w:eastAsia="仿宋_GB2312" w:cs="仿宋_GB2312"/>
        </w:rPr>
        <w:sectPr>
          <w:headerReference r:id="rId5" w:type="first"/>
          <w:footerReference r:id="rId8" w:type="first"/>
          <w:headerReference r:id="rId3" w:type="default"/>
          <w:footerReference r:id="rId6" w:type="default"/>
          <w:headerReference r:id="rId4" w:type="even"/>
          <w:footerReference r:id="rId7" w:type="even"/>
          <w:pgSz w:w="11906" w:h="16838"/>
          <w:pgMar w:top="1361" w:right="1474" w:bottom="1361" w:left="1474" w:header="680" w:footer="567" w:gutter="0"/>
          <w:pgNumType w:fmt="decimal" w:start="26"/>
          <w:cols w:space="720" w:num="1"/>
          <w:docGrid w:type="linesAndChars" w:linePitch="326" w:charSpace="0"/>
        </w:sectPr>
      </w:pP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bookmarkStart w:id="4" w:name="_Toc106865471"/>
      <w:r>
        <w:rPr>
          <w:rFonts w:hint="eastAsia" w:ascii="仿宋_GB2312" w:hAnsi="仿宋_GB2312" w:eastAsia="仿宋_GB2312" w:cs="仿宋_GB2312"/>
          <w:b/>
          <w:bCs/>
          <w:kern w:val="44"/>
          <w:sz w:val="44"/>
          <w:szCs w:val="44"/>
          <w:lang w:val="en-US" w:eastAsia="zh-CN" w:bidi="ar-SA"/>
        </w:rPr>
        <w:t>一、园区概况</w:t>
      </w:r>
      <w:bookmarkEnd w:id="4"/>
    </w:p>
    <w:p>
      <w:pPr>
        <w:spacing w:before="163"/>
        <w:ind w:left="560" w:hanging="560" w:hanging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1、园区基本情况</w:t>
      </w:r>
    </w:p>
    <w:p>
      <w:pPr>
        <w:spacing w:before="163"/>
        <w:ind w:left="480" w:hanging="480" w:hanging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地理位置，投资主体、主要经济技术指标，主导行业，配套设施，管理现状。</w:t>
      </w:r>
    </w:p>
    <w:p>
      <w:pPr>
        <w:spacing w:before="163"/>
        <w:ind w:left="560" w:hanging="560" w:hangingChars="200"/>
        <w:rPr>
          <w:rFonts w:hint="eastAsia" w:ascii="仿宋_GB2312" w:hAnsi="仿宋_GB2312" w:eastAsia="仿宋_GB2312" w:cs="仿宋_GB2312"/>
          <w:sz w:val="24"/>
          <w:szCs w:val="24"/>
        </w:rPr>
      </w:pPr>
      <w:r>
        <w:rPr>
          <w:rFonts w:hint="eastAsia" w:ascii="仿宋_GB2312" w:hAnsi="仿宋_GB2312" w:eastAsia="仿宋_GB2312" w:cs="仿宋_GB2312"/>
          <w:sz w:val="28"/>
          <w:szCs w:val="24"/>
        </w:rPr>
        <w:t>2、园区是否存在一票否决（撤销认定）情况</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237"/>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23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情形</w:t>
            </w:r>
          </w:p>
        </w:tc>
        <w:tc>
          <w:tcPr>
            <w:tcW w:w="1326"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出现重大环境问题，受到国家、省或者市委、市政府约谈、通报批评</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存在中央或省环境保护督察反馈重点环境问题，未在规定限期内解决</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因环境问题被上级部门实施限批、挂牌督办</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未按照园区划环评要求、园区准入条件引进建设项目</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1个日历年内因园区或园区内任一企业环境违法行为受到行政处罚合计2次及以上</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发生重大及以上的突发环境事件</w:t>
            </w:r>
          </w:p>
        </w:tc>
        <w:tc>
          <w:tcPr>
            <w:tcW w:w="1326" w:type="dxa"/>
            <w:vAlign w:val="center"/>
          </w:tcPr>
          <w:p>
            <w:pPr>
              <w:spacing w:line="36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6237" w:type="dxa"/>
            <w:vAlign w:val="center"/>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符合其他撤销认定的规定</w:t>
            </w:r>
          </w:p>
        </w:tc>
        <w:tc>
          <w:tcPr>
            <w:tcW w:w="1326" w:type="dxa"/>
            <w:vAlign w:val="center"/>
          </w:tcPr>
          <w:p>
            <w:pPr>
              <w:spacing w:line="360" w:lineRule="auto"/>
              <w:jc w:val="center"/>
              <w:rPr>
                <w:rFonts w:hint="eastAsia" w:ascii="仿宋_GB2312" w:hAnsi="仿宋_GB2312" w:eastAsia="仿宋_GB2312" w:cs="仿宋_GB2312"/>
                <w:sz w:val="24"/>
                <w:szCs w:val="24"/>
              </w:rPr>
            </w:pPr>
          </w:p>
        </w:tc>
      </w:tr>
    </w:tbl>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bookmarkStart w:id="5" w:name="_Toc106865472"/>
      <w:r>
        <w:rPr>
          <w:rFonts w:hint="eastAsia" w:ascii="仿宋_GB2312" w:hAnsi="仿宋_GB2312" w:eastAsia="仿宋_GB2312" w:cs="仿宋_GB2312"/>
          <w:b/>
          <w:bCs/>
          <w:kern w:val="44"/>
          <w:sz w:val="44"/>
          <w:szCs w:val="44"/>
          <w:lang w:val="en-US" w:eastAsia="zh-CN" w:bidi="ar-SA"/>
        </w:rPr>
        <w:t>二、园区企业环境管理现状</w:t>
      </w:r>
      <w:bookmarkEnd w:id="5"/>
    </w:p>
    <w:tbl>
      <w:tblPr>
        <w:tblStyle w:val="7"/>
        <w:tblW w:w="9720" w:type="dxa"/>
        <w:jc w:val="center"/>
        <w:tblLayout w:type="fixed"/>
        <w:tblCellMar>
          <w:top w:w="0" w:type="dxa"/>
          <w:left w:w="108" w:type="dxa"/>
          <w:bottom w:w="0" w:type="dxa"/>
          <w:right w:w="108" w:type="dxa"/>
        </w:tblCellMar>
      </w:tblPr>
      <w:tblGrid>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序号</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企业名称　</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所属行业</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所在位置</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是否取得环评批复</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是否完成竣工环保验收</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是否取得排污许可</w:t>
            </w:r>
          </w:p>
        </w:tc>
        <w:tc>
          <w:tcPr>
            <w:tcW w:w="1080"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排污许可证后执行情况（含日常监测情况）</w:t>
            </w:r>
          </w:p>
        </w:tc>
        <w:tc>
          <w:tcPr>
            <w:tcW w:w="1080" w:type="dxa"/>
            <w:tcBorders>
              <w:top w:val="single" w:color="auto" w:sz="4" w:space="0"/>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备注（备注佐证材料编号）</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w:t>
            </w:r>
          </w:p>
        </w:tc>
        <w:tc>
          <w:tcPr>
            <w:tcW w:w="1080" w:type="dxa"/>
            <w:tcBorders>
              <w:top w:val="nil"/>
              <w:left w:val="nil"/>
              <w:bottom w:val="single" w:color="auto" w:sz="4" w:space="0"/>
              <w:right w:val="single" w:color="auto" w:sz="4" w:space="0"/>
            </w:tcBorders>
            <w:vAlign w:val="top"/>
          </w:tcPr>
          <w:p>
            <w:pPr>
              <w:rPr>
                <w:rFonts w:hint="eastAsia" w:ascii="仿宋_GB2312" w:hAnsi="仿宋_GB2312" w:eastAsia="仿宋_GB2312" w:cs="仿宋_GB2312"/>
                <w:sz w:val="21"/>
                <w:szCs w:val="22"/>
              </w:rPr>
            </w:pPr>
          </w:p>
        </w:tc>
      </w:tr>
    </w:tbl>
    <w:p>
      <w:pPr>
        <w:spacing w:after="156" w:afterLines="50"/>
        <w:ind w:firstLine="420" w:firstLineChars="200"/>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企业环境相关佐证材料，以附件的形式提供</w:t>
      </w: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bookmarkStart w:id="6" w:name="_Toc106865473"/>
      <w:r>
        <w:rPr>
          <w:rFonts w:hint="eastAsia" w:ascii="仿宋_GB2312" w:hAnsi="仿宋_GB2312" w:eastAsia="仿宋_GB2312" w:cs="仿宋_GB2312"/>
          <w:b/>
          <w:bCs/>
          <w:kern w:val="44"/>
          <w:sz w:val="44"/>
          <w:szCs w:val="44"/>
          <w:lang w:val="en-US" w:eastAsia="zh-CN" w:bidi="ar-SA"/>
        </w:rPr>
        <w:t>三、园区公共配套设施运行情况</w:t>
      </w:r>
      <w:bookmarkEnd w:id="6"/>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1、治污设施运行情况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（1）废水处理设施（如无废水处理设施，备注：无）</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（2）废气处理设施（如无废气处理设施，备注：无）</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（3）固体废物处理情况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（4）噪声防治措施情况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2、治污设施运行效果（附件提供监测数据）</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（1）废水处理设施运行效果</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（2）废气处理设施运行效果</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（3）噪声防治措施运行效果</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3、园区环境质量情况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（1）园区大气微观站监测的大气环境质量情况（如无备注：无）</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（2）园区地下水、地表水、土壤监测情况（如无备注：无）</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4、园区环境应急情况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（1）园区突发环境事件应急预案建立、执行情况以及突发环境事件处理情况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（2）应急组织架构情况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（3）应急设施、物质列表（备注维护情况及状态）及分布图</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（4）应急培训、应急演练情况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5、园区资源利用情况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（1）用水用电情况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（2）可再生能源使用情况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（3）雨水回收情况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（4）其他资源综合利用情况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6、其他</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（1）园区环境管理制度制定执行情况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（2）信息公开情况</w:t>
      </w:r>
    </w:p>
    <w:p>
      <w:pPr>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（3）园区信访投诉情况</w:t>
      </w:r>
    </w:p>
    <w:p>
      <w:pPr>
        <w:keepNext/>
        <w:keepLines/>
        <w:widowControl w:val="0"/>
        <w:spacing w:before="163" w:after="163" w:line="578" w:lineRule="auto"/>
        <w:jc w:val="both"/>
        <w:outlineLvl w:val="0"/>
        <w:rPr>
          <w:rFonts w:hint="eastAsia" w:ascii="仿宋_GB2312" w:hAnsi="仿宋_GB2312" w:eastAsia="仿宋_GB2312" w:cs="仿宋_GB2312"/>
          <w:b/>
          <w:bCs/>
          <w:kern w:val="44"/>
          <w:sz w:val="44"/>
          <w:szCs w:val="44"/>
          <w:lang w:val="en-US" w:eastAsia="zh-CN" w:bidi="ar-SA"/>
        </w:rPr>
      </w:pPr>
      <w:bookmarkStart w:id="7" w:name="_Toc106865474"/>
      <w:r>
        <w:rPr>
          <w:rFonts w:hint="eastAsia" w:ascii="仿宋_GB2312" w:hAnsi="仿宋_GB2312" w:eastAsia="仿宋_GB2312" w:cs="仿宋_GB2312"/>
          <w:b/>
          <w:bCs/>
          <w:kern w:val="44"/>
          <w:sz w:val="44"/>
          <w:szCs w:val="44"/>
          <w:lang w:val="en-US" w:eastAsia="zh-CN" w:bidi="ar-SA"/>
        </w:rPr>
        <w:t>四、附件</w:t>
      </w:r>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jc w:val="center"/>
      <w:rPr>
        <w:rFonts w:ascii="宋体" w:hAnsi="宋体"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jc w:val="center"/>
      <w:rPr>
        <w:rFonts w:ascii="宋体" w:hAnsi="宋体" w:eastAsia="宋体" w:cs="Times New Roman"/>
        <w:kern w:val="0"/>
        <w:sz w:val="18"/>
        <w:szCs w:val="18"/>
        <w:lang w:val="en-US" w:eastAsia="zh-CN" w:bidi="ar-SA"/>
      </w:rPr>
    </w:pPr>
    <w:r>
      <w:rPr>
        <w:rFonts w:ascii="宋体" w:hAnsi="宋体" w:eastAsia="宋体" w:cs="Times New Roman"/>
        <w:kern w:val="0"/>
        <w:sz w:val="18"/>
        <w:szCs w:val="18"/>
        <w:lang w:val="en-US" w:eastAsia="zh-CN" w:bidi="ar-SA"/>
      </w:rPr>
      <w:fldChar w:fldCharType="begin"/>
    </w:r>
    <w:r>
      <w:rPr>
        <w:rFonts w:ascii="宋体" w:hAnsi="宋体" w:eastAsia="宋体" w:cs="Times New Roman"/>
        <w:kern w:val="0"/>
        <w:sz w:val="18"/>
        <w:szCs w:val="18"/>
        <w:lang w:val="en-US" w:eastAsia="zh-CN" w:bidi="ar-SA"/>
      </w:rPr>
      <w:instrText xml:space="preserve"> PAGE   \* MERGEFORMAT </w:instrText>
    </w:r>
    <w:r>
      <w:rPr>
        <w:rFonts w:ascii="宋体" w:hAnsi="宋体" w:eastAsia="宋体" w:cs="Times New Roman"/>
        <w:kern w:val="0"/>
        <w:sz w:val="18"/>
        <w:szCs w:val="18"/>
        <w:lang w:val="en-US" w:eastAsia="zh-CN" w:bidi="ar-SA"/>
      </w:rPr>
      <w:fldChar w:fldCharType="separate"/>
    </w:r>
    <w:r>
      <w:rPr>
        <w:rFonts w:ascii="宋体" w:hAnsi="宋体" w:eastAsia="宋体" w:cs="Times New Roman"/>
        <w:kern w:val="0"/>
        <w:sz w:val="18"/>
        <w:szCs w:val="18"/>
        <w:lang w:val="zh-CN" w:eastAsia="zh-CN" w:bidi="ar-SA"/>
      </w:rPr>
      <w:t>II</w:t>
    </w:r>
    <w:r>
      <w:rPr>
        <w:rFonts w:ascii="宋体" w:hAnsi="宋体" w:eastAsia="宋体" w:cs="Times New Roman"/>
        <w:kern w:val="0"/>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before="120"/>
      <w:ind w:firstLine="360"/>
      <w:jc w:val="left"/>
      <w:rPr>
        <w:rFonts w:ascii="宋体" w:hAnsi="宋体"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jc w:val="center"/>
      <w:rPr>
        <w:rFonts w:ascii="等线" w:hAnsi="等线" w:eastAsia="等线" w:cs="Times New Roman"/>
        <w:sz w:val="21"/>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360"/>
      <w:rPr>
        <w:rFonts w:ascii="等线" w:hAnsi="等线" w:eastAsia="等线" w:cs="Times New Roman"/>
        <w:sz w:val="21"/>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single" w:color="auto" w:sz="6" w:space="1"/>
      </w:pBdr>
      <w:tabs>
        <w:tab w:val="center" w:pos="4153"/>
        <w:tab w:val="right" w:pos="8306"/>
      </w:tabs>
      <w:snapToGrid w:val="0"/>
      <w:spacing w:before="120"/>
      <w:ind w:firstLine="360"/>
      <w:jc w:val="center"/>
      <w:rPr>
        <w:rFonts w:ascii="宋体" w:hAnsi="宋体"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D9FC7"/>
    <w:multiLevelType w:val="singleLevel"/>
    <w:tmpl w:val="E6DD9FC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B637C"/>
    <w:rsid w:val="1F8D0560"/>
    <w:rsid w:val="22FB637C"/>
    <w:rsid w:val="28C040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2"/>
    <w:basedOn w:val="1"/>
    <w:next w:val="3"/>
    <w:uiPriority w:val="0"/>
    <w:pPr>
      <w:ind w:firstLine="608" w:firstLineChars="225"/>
    </w:pPr>
    <w:rPr>
      <w:rFonts w:ascii="宋体" w:hAnsi="宋体" w:eastAsia="宋体"/>
      <w:sz w:val="24"/>
      <w:szCs w:val="24"/>
    </w:rPr>
  </w:style>
  <w:style w:type="paragraph" w:styleId="3">
    <w:name w:val="Body Text"/>
    <w:basedOn w:val="1"/>
    <w:next w:val="4"/>
    <w:uiPriority w:val="0"/>
    <w:pPr>
      <w:spacing w:after="120"/>
    </w:pPr>
  </w:style>
  <w:style w:type="paragraph" w:styleId="4">
    <w:name w:val="toc 5"/>
    <w:basedOn w:val="1"/>
    <w:next w:val="1"/>
    <w:uiPriority w:val="0"/>
    <w:pPr>
      <w:suppressAutoHyphens/>
      <w:ind w:left="1680" w:leftChars="800"/>
    </w:pPr>
    <w:rPr>
      <w:rFonts w:eastAsia="宋体"/>
      <w:kern w:val="1"/>
      <w:sz w:val="21"/>
      <w:szCs w:val="24"/>
      <w:lang w:eastAsia="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11</Company>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2022-12-22T08:42:00Z</dcterms:created>
  <dc:creator>法规与宣教科</dc:creator>
  <cp:lastModifiedBy>胡辉旺</cp:lastModifiedBy>
  <dcterms:modified xsi:type="dcterms:W3CDTF">2022-12-23T02:45:01Z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0A2674E34C4D4B93977EF0A01A3C6BD3</vt:lpwstr>
  </property>
</Properties>
</file>