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3"/>
        <w:rPr>
          <w:rFonts w:hint="eastAsia" w:ascii="黑体" w:hAnsi="黑体" w:eastAsia="黑体" w:cs="黑体"/>
          <w:sz w:val="32"/>
          <w:szCs w:val="32"/>
        </w:rPr>
      </w:pPr>
      <w:r>
        <w:rPr>
          <w:rFonts w:hint="eastAsia" w:ascii="黑体" w:hAnsi="黑体" w:eastAsia="黑体" w:cs="黑体"/>
          <w:sz w:val="32"/>
          <w:szCs w:val="32"/>
        </w:rPr>
        <w:t>附件3</w:t>
      </w:r>
    </w:p>
    <w:p>
      <w:pPr>
        <w:spacing w:before="163"/>
        <w:jc w:val="center"/>
        <w:rPr>
          <w:rFonts w:ascii="Times New Roman" w:hAnsi="Times New Roman" w:eastAsia="仿宋" w:cs="Times New Roman"/>
          <w:sz w:val="21"/>
          <w:szCs w:val="22"/>
        </w:rPr>
      </w:pPr>
    </w:p>
    <w:p>
      <w:pPr>
        <w:spacing w:before="163"/>
        <w:jc w:val="center"/>
        <w:rPr>
          <w:rFonts w:hint="eastAsia" w:ascii="仿宋_GB2312" w:hAnsi="仿宋_GB2312" w:eastAsia="仿宋_GB2312" w:cs="仿宋_GB2312"/>
          <w:sz w:val="21"/>
          <w:szCs w:val="22"/>
        </w:rPr>
      </w:pPr>
    </w:p>
    <w:p>
      <w:pPr>
        <w:spacing w:before="163"/>
        <w:jc w:val="center"/>
        <w:rPr>
          <w:rFonts w:hint="eastAsia" w:ascii="仿宋_GB2312" w:hAnsi="仿宋_GB2312" w:eastAsia="仿宋_GB2312" w:cs="仿宋_GB2312"/>
          <w:sz w:val="21"/>
          <w:szCs w:val="22"/>
        </w:rPr>
      </w:pPr>
    </w:p>
    <w:p>
      <w:pPr>
        <w:widowControl w:val="0"/>
        <w:adjustRightInd w:val="0"/>
        <w:snapToGrid w:val="0"/>
        <w:spacing w:before="240" w:beforeLines="0" w:line="360" w:lineRule="auto"/>
        <w:jc w:val="center"/>
        <w:outlineLvl w:val="0"/>
        <w:rPr>
          <w:rFonts w:hint="eastAsia" w:ascii="仿宋_GB2312" w:hAnsi="仿宋_GB2312" w:eastAsia="仿宋_GB2312" w:cs="仿宋_GB2312"/>
          <w:b/>
          <w:bCs/>
          <w:kern w:val="0"/>
          <w:sz w:val="52"/>
          <w:szCs w:val="32"/>
          <w:lang w:val="en-US" w:eastAsia="zh-CN" w:bidi="ar-SA"/>
        </w:rPr>
      </w:pPr>
      <w:r>
        <w:rPr>
          <w:rFonts w:hint="eastAsia" w:ascii="仿宋_GB2312" w:hAnsi="仿宋_GB2312" w:eastAsia="仿宋_GB2312" w:cs="仿宋_GB2312"/>
          <w:b/>
          <w:bCs/>
          <w:kern w:val="0"/>
          <w:sz w:val="52"/>
          <w:szCs w:val="32"/>
          <w:lang w:val="en-US" w:eastAsia="zh-CN" w:bidi="ar-SA"/>
        </w:rPr>
        <w:t>XX环保共性产业园</w:t>
      </w:r>
    </w:p>
    <w:p>
      <w:pPr>
        <w:widowControl w:val="0"/>
        <w:adjustRightInd w:val="0"/>
        <w:snapToGrid w:val="0"/>
        <w:spacing w:before="240" w:beforeLines="0" w:line="360" w:lineRule="auto"/>
        <w:jc w:val="center"/>
        <w:outlineLvl w:val="0"/>
        <w:rPr>
          <w:rFonts w:hint="eastAsia" w:ascii="仿宋_GB2312" w:hAnsi="仿宋_GB2312" w:eastAsia="仿宋_GB2312" w:cs="仿宋_GB2312"/>
          <w:b/>
          <w:bCs/>
          <w:spacing w:val="-14"/>
          <w:kern w:val="0"/>
          <w:sz w:val="52"/>
          <w:szCs w:val="32"/>
          <w:lang w:val="en-US" w:eastAsia="zh-CN" w:bidi="ar-SA"/>
        </w:rPr>
      </w:pPr>
      <w:r>
        <w:rPr>
          <w:rFonts w:hint="eastAsia" w:ascii="仿宋_GB2312" w:hAnsi="仿宋_GB2312" w:eastAsia="仿宋_GB2312" w:cs="仿宋_GB2312"/>
          <w:b/>
          <w:bCs/>
          <w:kern w:val="0"/>
          <w:sz w:val="52"/>
          <w:szCs w:val="32"/>
          <w:lang w:val="en-US" w:eastAsia="zh-CN" w:bidi="ar-SA"/>
        </w:rPr>
        <w:t>评估认定（绿牌）</w:t>
      </w:r>
    </w:p>
    <w:p>
      <w:pPr>
        <w:widowControl w:val="0"/>
        <w:adjustRightInd w:val="0"/>
        <w:snapToGrid w:val="0"/>
        <w:spacing w:before="163" w:beforeLines="0" w:line="360" w:lineRule="auto"/>
        <w:jc w:val="center"/>
        <w:outlineLvl w:val="0"/>
        <w:rPr>
          <w:rFonts w:hint="eastAsia" w:ascii="仿宋_GB2312" w:hAnsi="仿宋_GB2312" w:eastAsia="仿宋_GB2312" w:cs="仿宋_GB2312"/>
          <w:b/>
          <w:bCs/>
          <w:kern w:val="0"/>
          <w:sz w:val="52"/>
          <w:szCs w:val="32"/>
          <w:lang w:val="en-US" w:eastAsia="zh-CN" w:bidi="ar-SA"/>
        </w:rPr>
      </w:pPr>
      <w:r>
        <w:rPr>
          <w:rFonts w:hint="eastAsia" w:ascii="仿宋_GB2312" w:hAnsi="仿宋_GB2312" w:eastAsia="仿宋_GB2312" w:cs="仿宋_GB2312"/>
          <w:b/>
          <w:bCs/>
          <w:kern w:val="0"/>
          <w:sz w:val="52"/>
          <w:szCs w:val="32"/>
          <w:lang w:val="en-US" w:eastAsia="zh-CN" w:bidi="ar-SA"/>
        </w:rPr>
        <w:t>申请报告</w:t>
      </w:r>
    </w:p>
    <w:p>
      <w:pPr>
        <w:jc w:val="center"/>
        <w:outlineLvl w:val="1"/>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（模板）</w:t>
      </w:r>
    </w:p>
    <w:p>
      <w:pPr>
        <w:spacing w:before="163"/>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spacing w:before="16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（园区形象照片）</w:t>
      </w:r>
    </w:p>
    <w:p>
      <w:pPr>
        <w:spacing w:before="163"/>
        <w:ind w:firstLine="480"/>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widowControl w:val="0"/>
        <w:autoSpaceDE w:val="0"/>
        <w:autoSpaceDN w:val="0"/>
        <w:adjustRightInd w:val="0"/>
        <w:spacing w:after="120"/>
        <w:jc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32"/>
          <w:szCs w:val="32"/>
          <w:lang w:val="en-US" w:eastAsia="zh-CN" w:bidi="ar-SA"/>
        </w:rPr>
        <w:t>申请单位（盖章）：</w:t>
      </w:r>
    </w:p>
    <w:p>
      <w:pPr>
        <w:spacing w:after="120"/>
        <w:jc w:val="center"/>
        <w:rPr>
          <w:rFonts w:hint="eastAsia" w:ascii="仿宋_GB2312" w:hAnsi="仿宋_GB2312" w:eastAsia="仿宋_GB2312" w:cs="仿宋_GB2312"/>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361" w:right="1474" w:bottom="1361" w:left="1474" w:header="510" w:footer="567" w:gutter="0"/>
          <w:pgNumType w:fmt="decimal"/>
          <w:cols w:space="720" w:num="1"/>
          <w:docGrid w:type="lines" w:linePitch="326" w:charSpace="0"/>
        </w:sectPr>
      </w:pPr>
      <w:r>
        <w:rPr>
          <w:rFonts w:hint="eastAsia" w:ascii="仿宋_GB2312" w:hAnsi="仿宋_GB2312" w:eastAsia="仿宋_GB2312" w:cs="仿宋_GB2312"/>
          <w:color w:val="auto"/>
          <w:sz w:val="32"/>
          <w:szCs w:val="32"/>
          <w:lang w:val="en-US" w:eastAsia="zh-CN" w:bidi="ar-SA"/>
        </w:rPr>
        <w:t>报告日期：xx年x月x日</w:t>
      </w:r>
    </w:p>
    <w:p>
      <w:pPr>
        <w:widowControl w:val="0"/>
        <w:autoSpaceDE w:val="0"/>
        <w:autoSpaceDN w:val="0"/>
        <w:adjustRightInd w:val="0"/>
        <w:spacing w:line="300" w:lineRule="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××环保共性产业园申请报告编制小组成员名单： </w:t>
      </w: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姓名、单位、职务或职称、联系方式、备注</w:t>
      </w: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（申报单位）承诺（盖章）：</w:t>
      </w:r>
    </w:p>
    <w:p>
      <w:pPr>
        <w:widowControl w:val="0"/>
        <w:numPr>
          <w:ilvl w:val="0"/>
          <w:numId w:val="1"/>
        </w:numPr>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我们对本报告内容的合法性、真实性和完整性负责。</w:t>
      </w: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2、本报告的内容可以公开（注：如不能公开，请明确不能公开的内容及原因，否则，默认本报告内容可以全部公开）。</w:t>
      </w: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keepNext/>
        <w:keepLines/>
        <w:widowControl w:val="0"/>
        <w:spacing w:before="163" w:after="163" w:line="578" w:lineRule="auto"/>
        <w:jc w:val="both"/>
        <w:outlineLvl w:val="0"/>
        <w:rPr>
          <w:rFonts w:hint="eastAsia" w:ascii="仿宋_GB2312" w:hAnsi="仿宋_GB2312" w:eastAsia="仿宋_GB2312" w:cs="仿宋_GB2312"/>
          <w:b/>
          <w:bCs/>
          <w:kern w:val="44"/>
          <w:sz w:val="44"/>
          <w:szCs w:val="44"/>
          <w:lang w:val="en-US" w:eastAsia="zh-CN" w:bidi="ar-SA"/>
        </w:rPr>
      </w:pPr>
      <w:r>
        <w:rPr>
          <w:rFonts w:hint="eastAsia" w:ascii="仿宋_GB2312" w:hAnsi="仿宋_GB2312" w:eastAsia="仿宋_GB2312" w:cs="仿宋_GB2312"/>
          <w:b/>
          <w:bCs/>
          <w:kern w:val="44"/>
          <w:sz w:val="44"/>
          <w:szCs w:val="44"/>
          <w:lang w:val="zh-CN" w:eastAsia="zh-CN" w:bidi="ar-SA"/>
        </w:rPr>
        <w:t>目 录</w:t>
      </w:r>
    </w:p>
    <w:p>
      <w:pPr>
        <w:widowControl/>
        <w:tabs>
          <w:tab w:val="right" w:leader="dot" w:pos="8948"/>
        </w:tabs>
        <w:ind w:left="640" w:leftChars="200"/>
        <w:jc w:val="left"/>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kern w:val="0"/>
          <w:sz w:val="28"/>
          <w:szCs w:val="28"/>
          <w:lang w:val="en-US" w:eastAsia="zh-CN" w:bidi="ar-SA"/>
        </w:rPr>
        <w:fldChar w:fldCharType="begin"/>
      </w:r>
      <w:r>
        <w:rPr>
          <w:rFonts w:hint="eastAsia" w:ascii="仿宋_GB2312" w:hAnsi="仿宋_GB2312" w:eastAsia="仿宋_GB2312" w:cs="仿宋_GB2312"/>
          <w:kern w:val="0"/>
          <w:sz w:val="28"/>
          <w:szCs w:val="28"/>
          <w:lang w:val="en-US" w:eastAsia="zh-CN" w:bidi="ar-SA"/>
        </w:rPr>
        <w:instrText xml:space="preserve"> TOC \o "1-3" \h \z \u </w:instrText>
      </w:r>
      <w:r>
        <w:rPr>
          <w:rFonts w:hint="eastAsia" w:ascii="仿宋_GB2312" w:hAnsi="仿宋_GB2312" w:eastAsia="仿宋_GB2312" w:cs="仿宋_GB2312"/>
          <w:kern w:val="0"/>
          <w:sz w:val="28"/>
          <w:szCs w:val="28"/>
          <w:lang w:val="en-US" w:eastAsia="zh-CN" w:bidi="ar-SA"/>
        </w:rPr>
        <w:fldChar w:fldCharType="separate"/>
      </w:r>
    </w:p>
    <w:p>
      <w:pPr>
        <w:widowControl w:val="0"/>
        <w:ind w:firstLine="482"/>
        <w:jc w:val="both"/>
        <w:rPr>
          <w:rFonts w:hint="eastAsia" w:ascii="仿宋_GB2312" w:hAnsi="仿宋_GB2312" w:eastAsia="仿宋_GB2312" w:cs="仿宋_GB2312"/>
          <w:b/>
          <w:bCs/>
          <w:kern w:val="2"/>
          <w:sz w:val="21"/>
          <w:szCs w:val="22"/>
          <w:lang w:val="en-US" w:eastAsia="zh-CN" w:bidi="ar-SA"/>
        </w:rPr>
      </w:pPr>
      <w:r>
        <w:rPr>
          <w:rFonts w:hint="eastAsia" w:ascii="仿宋_GB2312" w:hAnsi="仿宋_GB2312" w:eastAsia="仿宋_GB2312" w:cs="仿宋_GB2312"/>
          <w:kern w:val="2"/>
          <w:sz w:val="28"/>
          <w:szCs w:val="22"/>
          <w:lang w:val="en-US" w:eastAsia="zh-CN" w:bidi="ar-SA"/>
        </w:rPr>
        <w:fldChar w:fldCharType="begin"/>
      </w:r>
      <w:r>
        <w:rPr>
          <w:rFonts w:hint="eastAsia" w:ascii="仿宋_GB2312" w:hAnsi="仿宋_GB2312" w:eastAsia="仿宋_GB2312" w:cs="仿宋_GB2312"/>
          <w:color w:val="auto"/>
          <w:kern w:val="2"/>
          <w:sz w:val="28"/>
          <w:szCs w:val="22"/>
          <w:u w:val="none"/>
          <w:lang w:val="en-US" w:eastAsia="zh-CN" w:bidi="ar-SA"/>
        </w:rPr>
        <w:instrText xml:space="preserve"> </w:instrText>
      </w:r>
      <w:r>
        <w:rPr>
          <w:rFonts w:hint="eastAsia" w:ascii="仿宋_GB2312" w:hAnsi="仿宋_GB2312" w:eastAsia="仿宋_GB2312" w:cs="仿宋_GB2312"/>
          <w:kern w:val="2"/>
          <w:sz w:val="28"/>
          <w:szCs w:val="22"/>
          <w:lang w:val="en-US" w:eastAsia="zh-CN" w:bidi="ar-SA"/>
        </w:rPr>
        <w:instrText xml:space="preserve">HYPERLINK \l "_Toc100846544"</w:instrText>
      </w:r>
      <w:r>
        <w:rPr>
          <w:rFonts w:hint="eastAsia" w:ascii="仿宋_GB2312" w:hAnsi="仿宋_GB2312" w:eastAsia="仿宋_GB2312" w:cs="仿宋_GB2312"/>
          <w:color w:val="auto"/>
          <w:kern w:val="2"/>
          <w:sz w:val="28"/>
          <w:szCs w:val="22"/>
          <w:u w:val="none"/>
          <w:lang w:val="en-US" w:eastAsia="zh-CN" w:bidi="ar-SA"/>
        </w:rPr>
        <w:instrText xml:space="preserve"> </w:instrText>
      </w:r>
      <w:r>
        <w:rPr>
          <w:rFonts w:hint="eastAsia" w:ascii="仿宋_GB2312" w:hAnsi="仿宋_GB2312" w:eastAsia="仿宋_GB2312" w:cs="仿宋_GB2312"/>
          <w:kern w:val="2"/>
          <w:sz w:val="28"/>
          <w:szCs w:val="22"/>
          <w:lang w:val="en-US" w:eastAsia="zh-CN" w:bidi="ar-SA"/>
        </w:rPr>
        <w:fldChar w:fldCharType="separate"/>
      </w:r>
      <w:r>
        <w:rPr>
          <w:rFonts w:hint="eastAsia" w:ascii="仿宋_GB2312" w:hAnsi="仿宋_GB2312" w:eastAsia="仿宋_GB2312" w:cs="仿宋_GB2312"/>
          <w:color w:val="auto"/>
          <w:kern w:val="2"/>
          <w:sz w:val="28"/>
          <w:szCs w:val="22"/>
          <w:u w:val="none"/>
          <w:lang w:val="en-US" w:eastAsia="zh-CN" w:bidi="ar-SA"/>
        </w:rPr>
        <w:t>一、园区概况</w:t>
      </w:r>
      <w:r>
        <w:rPr>
          <w:rFonts w:hint="eastAsia" w:ascii="仿宋_GB2312" w:hAnsi="仿宋_GB2312" w:eastAsia="仿宋_GB2312" w:cs="仿宋_GB2312"/>
          <w:kern w:val="2"/>
          <w:sz w:val="28"/>
          <w:szCs w:val="22"/>
          <w:lang w:val="en-US" w:eastAsia="zh-CN" w:bidi="ar-SA"/>
        </w:rPr>
        <w:tab/>
      </w:r>
      <w:r>
        <w:rPr>
          <w:rFonts w:hint="eastAsia" w:ascii="仿宋_GB2312" w:hAnsi="仿宋_GB2312" w:eastAsia="仿宋_GB2312" w:cs="仿宋_GB2312"/>
          <w:kern w:val="2"/>
          <w:sz w:val="28"/>
          <w:szCs w:val="22"/>
          <w:lang w:val="en-US" w:eastAsia="zh-CN" w:bidi="ar-SA"/>
        </w:rPr>
        <w:fldChar w:fldCharType="end"/>
      </w:r>
    </w:p>
    <w:p>
      <w:pPr>
        <w:widowControl w:val="0"/>
        <w:ind w:firstLine="482"/>
        <w:jc w:val="both"/>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kern w:val="2"/>
          <w:sz w:val="28"/>
          <w:szCs w:val="22"/>
          <w:lang w:val="en-US" w:eastAsia="zh-CN" w:bidi="ar-SA"/>
        </w:rPr>
        <w:fldChar w:fldCharType="begin"/>
      </w:r>
      <w:r>
        <w:rPr>
          <w:rFonts w:hint="eastAsia" w:ascii="仿宋_GB2312" w:hAnsi="仿宋_GB2312" w:eastAsia="仿宋_GB2312" w:cs="仿宋_GB2312"/>
          <w:color w:val="auto"/>
          <w:kern w:val="2"/>
          <w:sz w:val="28"/>
          <w:szCs w:val="22"/>
          <w:u w:val="none"/>
          <w:lang w:val="en-US" w:eastAsia="zh-CN" w:bidi="ar-SA"/>
        </w:rPr>
        <w:instrText xml:space="preserve"> </w:instrText>
      </w:r>
      <w:r>
        <w:rPr>
          <w:rFonts w:hint="eastAsia" w:ascii="仿宋_GB2312" w:hAnsi="仿宋_GB2312" w:eastAsia="仿宋_GB2312" w:cs="仿宋_GB2312"/>
          <w:kern w:val="2"/>
          <w:sz w:val="28"/>
          <w:szCs w:val="22"/>
          <w:lang w:val="en-US" w:eastAsia="zh-CN" w:bidi="ar-SA"/>
        </w:rPr>
        <w:instrText xml:space="preserve">HYPERLINK \l "_Toc100846545"</w:instrText>
      </w:r>
      <w:r>
        <w:rPr>
          <w:rFonts w:hint="eastAsia" w:ascii="仿宋_GB2312" w:hAnsi="仿宋_GB2312" w:eastAsia="仿宋_GB2312" w:cs="仿宋_GB2312"/>
          <w:color w:val="auto"/>
          <w:kern w:val="2"/>
          <w:sz w:val="28"/>
          <w:szCs w:val="22"/>
          <w:u w:val="none"/>
          <w:lang w:val="en-US" w:eastAsia="zh-CN" w:bidi="ar-SA"/>
        </w:rPr>
        <w:instrText xml:space="preserve"> </w:instrText>
      </w:r>
      <w:r>
        <w:rPr>
          <w:rFonts w:hint="eastAsia" w:ascii="仿宋_GB2312" w:hAnsi="仿宋_GB2312" w:eastAsia="仿宋_GB2312" w:cs="仿宋_GB2312"/>
          <w:kern w:val="2"/>
          <w:sz w:val="28"/>
          <w:szCs w:val="22"/>
          <w:lang w:val="en-US" w:eastAsia="zh-CN" w:bidi="ar-SA"/>
        </w:rPr>
        <w:fldChar w:fldCharType="separate"/>
      </w:r>
      <w:r>
        <w:rPr>
          <w:rFonts w:hint="eastAsia" w:ascii="仿宋_GB2312" w:hAnsi="仿宋_GB2312" w:eastAsia="仿宋_GB2312" w:cs="仿宋_GB2312"/>
          <w:color w:val="auto"/>
          <w:kern w:val="2"/>
          <w:sz w:val="28"/>
          <w:szCs w:val="22"/>
          <w:u w:val="none"/>
          <w:lang w:val="en-US" w:eastAsia="zh-CN" w:bidi="ar-SA"/>
        </w:rPr>
        <w:t>二、环保共性产业园评价情况</w:t>
      </w:r>
      <w:r>
        <w:rPr>
          <w:rFonts w:hint="eastAsia" w:ascii="仿宋_GB2312" w:hAnsi="仿宋_GB2312" w:eastAsia="仿宋_GB2312" w:cs="仿宋_GB2312"/>
          <w:kern w:val="2"/>
          <w:sz w:val="28"/>
          <w:szCs w:val="22"/>
          <w:lang w:val="en-US" w:eastAsia="zh-CN" w:bidi="ar-SA"/>
        </w:rPr>
        <w:tab/>
      </w:r>
      <w:r>
        <w:rPr>
          <w:rFonts w:hint="eastAsia" w:ascii="仿宋_GB2312" w:hAnsi="仿宋_GB2312" w:eastAsia="仿宋_GB2312" w:cs="仿宋_GB2312"/>
          <w:kern w:val="2"/>
          <w:sz w:val="28"/>
          <w:szCs w:val="22"/>
          <w:lang w:val="en-US" w:eastAsia="zh-CN" w:bidi="ar-SA"/>
        </w:rPr>
        <w:fldChar w:fldCharType="end"/>
      </w:r>
    </w:p>
    <w:p>
      <w:pPr>
        <w:widowControl w:val="0"/>
        <w:ind w:firstLine="482"/>
        <w:jc w:val="both"/>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kern w:val="2"/>
          <w:sz w:val="28"/>
          <w:szCs w:val="22"/>
          <w:lang w:val="en-US" w:eastAsia="zh-CN" w:bidi="ar-SA"/>
        </w:rPr>
        <w:fldChar w:fldCharType="begin"/>
      </w:r>
      <w:r>
        <w:rPr>
          <w:rFonts w:hint="eastAsia" w:ascii="仿宋_GB2312" w:hAnsi="仿宋_GB2312" w:eastAsia="仿宋_GB2312" w:cs="仿宋_GB2312"/>
          <w:color w:val="auto"/>
          <w:kern w:val="2"/>
          <w:sz w:val="28"/>
          <w:szCs w:val="22"/>
          <w:u w:val="none"/>
          <w:lang w:val="en-US" w:eastAsia="zh-CN" w:bidi="ar-SA"/>
        </w:rPr>
        <w:instrText xml:space="preserve"> </w:instrText>
      </w:r>
      <w:r>
        <w:rPr>
          <w:rFonts w:hint="eastAsia" w:ascii="仿宋_GB2312" w:hAnsi="仿宋_GB2312" w:eastAsia="仿宋_GB2312" w:cs="仿宋_GB2312"/>
          <w:kern w:val="2"/>
          <w:sz w:val="28"/>
          <w:szCs w:val="22"/>
          <w:lang w:val="en-US" w:eastAsia="zh-CN" w:bidi="ar-SA"/>
        </w:rPr>
        <w:instrText xml:space="preserve">HYPERLINK \l "_Toc100846546"</w:instrText>
      </w:r>
      <w:r>
        <w:rPr>
          <w:rFonts w:hint="eastAsia" w:ascii="仿宋_GB2312" w:hAnsi="仿宋_GB2312" w:eastAsia="仿宋_GB2312" w:cs="仿宋_GB2312"/>
          <w:color w:val="auto"/>
          <w:kern w:val="2"/>
          <w:sz w:val="28"/>
          <w:szCs w:val="22"/>
          <w:u w:val="none"/>
          <w:lang w:val="en-US" w:eastAsia="zh-CN" w:bidi="ar-SA"/>
        </w:rPr>
        <w:instrText xml:space="preserve"> </w:instrText>
      </w:r>
      <w:r>
        <w:rPr>
          <w:rFonts w:hint="eastAsia" w:ascii="仿宋_GB2312" w:hAnsi="仿宋_GB2312" w:eastAsia="仿宋_GB2312" w:cs="仿宋_GB2312"/>
          <w:kern w:val="2"/>
          <w:sz w:val="28"/>
          <w:szCs w:val="22"/>
          <w:lang w:val="en-US" w:eastAsia="zh-CN" w:bidi="ar-SA"/>
        </w:rPr>
        <w:fldChar w:fldCharType="separate"/>
      </w:r>
      <w:r>
        <w:rPr>
          <w:rFonts w:hint="eastAsia" w:ascii="仿宋_GB2312" w:hAnsi="仿宋_GB2312" w:eastAsia="仿宋_GB2312" w:cs="仿宋_GB2312"/>
          <w:color w:val="auto"/>
          <w:kern w:val="2"/>
          <w:sz w:val="28"/>
          <w:szCs w:val="22"/>
          <w:u w:val="none"/>
          <w:lang w:val="en-US" w:eastAsia="zh-CN" w:bidi="ar-SA"/>
        </w:rPr>
        <w:t>三、附件（评价体系佐证材料，包括指标计算过程、承诺函等）</w:t>
      </w:r>
      <w:r>
        <w:rPr>
          <w:rFonts w:hint="eastAsia" w:ascii="仿宋_GB2312" w:hAnsi="仿宋_GB2312" w:eastAsia="仿宋_GB2312" w:cs="仿宋_GB2312"/>
          <w:kern w:val="2"/>
          <w:sz w:val="28"/>
          <w:szCs w:val="22"/>
          <w:lang w:val="en-US" w:eastAsia="zh-CN" w:bidi="ar-SA"/>
        </w:rPr>
        <w:tab/>
      </w:r>
      <w:r>
        <w:rPr>
          <w:rFonts w:hint="eastAsia" w:ascii="仿宋_GB2312" w:hAnsi="仿宋_GB2312" w:eastAsia="仿宋_GB2312" w:cs="仿宋_GB2312"/>
          <w:kern w:val="2"/>
          <w:sz w:val="28"/>
          <w:szCs w:val="22"/>
          <w:lang w:val="en-US" w:eastAsia="zh-CN" w:bidi="ar-SA"/>
        </w:rPr>
        <w:fldChar w:fldCharType="end"/>
      </w:r>
    </w:p>
    <w:p>
      <w:pPr>
        <w:tabs>
          <w:tab w:val="left" w:pos="567"/>
        </w:tabs>
        <w:spacing w:before="163"/>
        <w:ind w:firstLine="280" w:firstLineChars="100"/>
        <w:rPr>
          <w:rFonts w:hint="eastAsia" w:ascii="仿宋_GB2312" w:hAnsi="仿宋_GB2312" w:eastAsia="仿宋_GB2312" w:cs="仿宋_GB2312"/>
          <w:sz w:val="21"/>
          <w:szCs w:val="22"/>
        </w:rPr>
      </w:pPr>
      <w:r>
        <w:rPr>
          <w:rFonts w:hint="eastAsia" w:ascii="仿宋_GB2312" w:hAnsi="仿宋_GB2312" w:eastAsia="仿宋_GB2312" w:cs="仿宋_GB2312"/>
          <w:b/>
          <w:sz w:val="28"/>
          <w:szCs w:val="28"/>
        </w:rPr>
        <w:fldChar w:fldCharType="end"/>
      </w:r>
    </w:p>
    <w:p>
      <w:pPr>
        <w:spacing w:before="163"/>
        <w:ind w:firstLine="480"/>
        <w:rPr>
          <w:rFonts w:hint="eastAsia" w:ascii="仿宋_GB2312" w:hAnsi="仿宋_GB2312" w:eastAsia="仿宋_GB2312" w:cs="仿宋_GB2312"/>
          <w:sz w:val="21"/>
          <w:szCs w:val="22"/>
        </w:rPr>
      </w:pPr>
    </w:p>
    <w:p>
      <w:pPr>
        <w:spacing w:before="163" w:after="163"/>
        <w:rPr>
          <w:rFonts w:hint="eastAsia" w:ascii="仿宋_GB2312" w:hAnsi="仿宋_GB2312" w:eastAsia="仿宋_GB2312" w:cs="仿宋_GB2312"/>
        </w:rPr>
        <w:sectPr>
          <w:headerReference r:id="rId11" w:type="first"/>
          <w:footerReference r:id="rId14" w:type="first"/>
          <w:headerReference r:id="rId9" w:type="default"/>
          <w:footerReference r:id="rId12" w:type="default"/>
          <w:headerReference r:id="rId10" w:type="even"/>
          <w:footerReference r:id="rId13" w:type="even"/>
          <w:pgSz w:w="11906" w:h="16838"/>
          <w:pgMar w:top="1361" w:right="1474" w:bottom="1361" w:left="1474" w:header="680" w:footer="567" w:gutter="0"/>
          <w:pgNumType w:fmt="decimal" w:start="18"/>
          <w:cols w:space="720" w:num="1"/>
          <w:docGrid w:type="linesAndChars" w:linePitch="326" w:charSpace="0"/>
        </w:sectPr>
      </w:pPr>
    </w:p>
    <w:p>
      <w:pPr>
        <w:keepNext/>
        <w:keepLines/>
        <w:widowControl w:val="0"/>
        <w:spacing w:before="163" w:after="163" w:line="578" w:lineRule="auto"/>
        <w:jc w:val="both"/>
        <w:outlineLvl w:val="0"/>
        <w:rPr>
          <w:rFonts w:hint="eastAsia" w:ascii="仿宋_GB2312" w:hAnsi="仿宋_GB2312" w:eastAsia="仿宋_GB2312" w:cs="仿宋_GB2312"/>
          <w:b/>
          <w:bCs/>
          <w:kern w:val="44"/>
          <w:sz w:val="44"/>
          <w:szCs w:val="44"/>
          <w:lang w:val="en-US" w:eastAsia="zh-CN" w:bidi="ar-SA"/>
        </w:rPr>
      </w:pPr>
      <w:r>
        <w:rPr>
          <w:rFonts w:hint="eastAsia" w:ascii="仿宋_GB2312" w:hAnsi="仿宋_GB2312" w:eastAsia="仿宋_GB2312" w:cs="仿宋_GB2312"/>
          <w:b/>
          <w:bCs/>
          <w:kern w:val="44"/>
          <w:sz w:val="44"/>
          <w:szCs w:val="44"/>
          <w:lang w:val="en-US" w:eastAsia="zh-CN" w:bidi="ar-SA"/>
        </w:rPr>
        <w:t>一、园区概况</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园区名称： </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园区地址：（园区中心位置：东经 ，北纬 ）</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建设单位： </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建设单位联系人及联系方式：</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运营单位：</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运营单位联系人及联系方式</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总图布置： </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项目投资：总投资      万人民币，其中环保投资      万</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建设规模：</w:t>
      </w:r>
    </w:p>
    <w:p>
      <w:pPr>
        <w:widowControl w:val="0"/>
        <w:adjustRightInd w:val="0"/>
        <w:snapToGrid w:val="0"/>
        <w:spacing w:before="163" w:beforeLines="50" w:line="240" w:lineRule="atLeast"/>
        <w:jc w:val="center"/>
        <w:outlineLvl w:val="4"/>
        <w:rPr>
          <w:rFonts w:hint="eastAsia" w:ascii="仿宋_GB2312" w:hAnsi="仿宋_GB2312" w:eastAsia="仿宋_GB2312" w:cs="仿宋_GB2312"/>
          <w:b/>
          <w:bCs/>
          <w:kern w:val="0"/>
          <w:sz w:val="20"/>
          <w:szCs w:val="32"/>
          <w:lang w:val="en-US" w:eastAsia="zh-CN" w:bidi="ar-SA"/>
        </w:rPr>
      </w:pPr>
      <w:r>
        <w:rPr>
          <w:rFonts w:hint="eastAsia" w:ascii="仿宋_GB2312" w:hAnsi="仿宋_GB2312" w:eastAsia="仿宋_GB2312" w:cs="仿宋_GB2312"/>
          <w:b/>
          <w:bCs/>
          <w:kern w:val="0"/>
          <w:sz w:val="20"/>
          <w:szCs w:val="32"/>
          <w:lang w:val="en-US" w:eastAsia="zh-CN" w:bidi="ar-SA"/>
        </w:rPr>
        <w:t>表2.1-1 园区主要构筑物一览表</w:t>
      </w:r>
    </w:p>
    <w:tbl>
      <w:tblPr>
        <w:tblStyle w:val="5"/>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329"/>
        <w:gridCol w:w="6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工程名称</w:t>
            </w:r>
          </w:p>
        </w:tc>
        <w:tc>
          <w:tcPr>
            <w:tcW w:w="1329" w:type="dxa"/>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项目名称</w:t>
            </w:r>
          </w:p>
        </w:tc>
        <w:tc>
          <w:tcPr>
            <w:tcW w:w="6723" w:type="dxa"/>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主体工程</w:t>
            </w: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生产车间</w:t>
            </w:r>
          </w:p>
        </w:tc>
        <w:tc>
          <w:tcPr>
            <w:tcW w:w="6723" w:type="dxa"/>
            <w:vAlign w:val="center"/>
          </w:tcPr>
          <w:p>
            <w:pPr>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Merge w:val="restart"/>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辅助工程</w:t>
            </w: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办公室</w:t>
            </w:r>
          </w:p>
        </w:tc>
        <w:tc>
          <w:tcPr>
            <w:tcW w:w="6723" w:type="dxa"/>
            <w:vAlign w:val="center"/>
          </w:tcPr>
          <w:p>
            <w:pPr>
              <w:jc w:val="center"/>
              <w:rPr>
                <w:rFonts w:hint="eastAsia" w:ascii="仿宋_GB2312" w:hAnsi="仿宋_GB2312" w:eastAsia="仿宋_GB2312" w:cs="仿宋_GB2312"/>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Merge w:val="continue"/>
            <w:vAlign w:val="center"/>
          </w:tcPr>
          <w:p>
            <w:pPr>
              <w:jc w:val="center"/>
              <w:rPr>
                <w:rFonts w:hint="eastAsia" w:ascii="仿宋_GB2312" w:hAnsi="仿宋_GB2312" w:eastAsia="仿宋_GB2312" w:cs="仿宋_GB2312"/>
                <w:sz w:val="21"/>
                <w:szCs w:val="21"/>
              </w:rPr>
            </w:pPr>
          </w:p>
        </w:tc>
        <w:tc>
          <w:tcPr>
            <w:tcW w:w="1329" w:type="dxa"/>
            <w:vAlign w:val="center"/>
          </w:tcPr>
          <w:p>
            <w:pPr>
              <w:ind w:right="-160"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仓库</w:t>
            </w:r>
          </w:p>
        </w:tc>
        <w:tc>
          <w:tcPr>
            <w:tcW w:w="6723" w:type="dxa"/>
            <w:vAlign w:val="center"/>
          </w:tcPr>
          <w:p>
            <w:pPr>
              <w:jc w:val="center"/>
              <w:rPr>
                <w:rFonts w:hint="eastAsia" w:ascii="仿宋_GB2312" w:hAnsi="仿宋_GB2312" w:eastAsia="仿宋_GB2312" w:cs="仿宋_GB2312"/>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储运工程</w:t>
            </w:r>
          </w:p>
        </w:tc>
        <w:tc>
          <w:tcPr>
            <w:tcW w:w="1329" w:type="dxa"/>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运输</w:t>
            </w:r>
          </w:p>
        </w:tc>
        <w:tc>
          <w:tcPr>
            <w:tcW w:w="6723" w:type="dxa"/>
            <w:vAlign w:val="center"/>
          </w:tcPr>
          <w:p>
            <w:pPr>
              <w:jc w:val="center"/>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Merge w:val="restart"/>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w:t>
            </w: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723"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Merge w:val="continue"/>
            <w:vAlign w:val="center"/>
          </w:tcPr>
          <w:p>
            <w:pPr>
              <w:jc w:val="center"/>
              <w:rPr>
                <w:rFonts w:hint="eastAsia" w:ascii="仿宋_GB2312" w:hAnsi="仿宋_GB2312" w:eastAsia="仿宋_GB2312" w:cs="仿宋_GB2312"/>
                <w:sz w:val="21"/>
                <w:szCs w:val="21"/>
              </w:rPr>
            </w:pP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供电</w:t>
            </w:r>
          </w:p>
        </w:tc>
        <w:tc>
          <w:tcPr>
            <w:tcW w:w="6723"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Merge w:val="continue"/>
            <w:vAlign w:val="center"/>
          </w:tcPr>
          <w:p>
            <w:pPr>
              <w:jc w:val="center"/>
              <w:rPr>
                <w:rFonts w:hint="eastAsia" w:ascii="仿宋_GB2312" w:hAnsi="仿宋_GB2312" w:eastAsia="仿宋_GB2312" w:cs="仿宋_GB2312"/>
                <w:sz w:val="21"/>
                <w:szCs w:val="21"/>
              </w:rPr>
            </w:pP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天然气</w:t>
            </w:r>
          </w:p>
        </w:tc>
        <w:tc>
          <w:tcPr>
            <w:tcW w:w="6723"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Merge w:val="restart"/>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环保</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w:t>
            </w: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废水处理措施</w:t>
            </w:r>
          </w:p>
        </w:tc>
        <w:tc>
          <w:tcPr>
            <w:tcW w:w="6723" w:type="dxa"/>
            <w:vAlign w:val="center"/>
          </w:tcPr>
          <w:p>
            <w:pPr>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13" w:type="dxa"/>
            <w:vMerge w:val="continue"/>
            <w:vAlign w:val="center"/>
          </w:tcPr>
          <w:p>
            <w:pPr>
              <w:jc w:val="center"/>
              <w:rPr>
                <w:rFonts w:hint="eastAsia" w:ascii="仿宋_GB2312" w:hAnsi="仿宋_GB2312" w:eastAsia="仿宋_GB2312" w:cs="仿宋_GB2312"/>
                <w:sz w:val="21"/>
                <w:szCs w:val="21"/>
              </w:rPr>
            </w:pP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废气处理措施</w:t>
            </w:r>
          </w:p>
        </w:tc>
        <w:tc>
          <w:tcPr>
            <w:tcW w:w="6723" w:type="dxa"/>
            <w:vAlign w:val="center"/>
          </w:tcPr>
          <w:p>
            <w:pPr>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vMerge w:val="continue"/>
            <w:vAlign w:val="center"/>
          </w:tcPr>
          <w:p>
            <w:pPr>
              <w:jc w:val="center"/>
              <w:rPr>
                <w:rFonts w:hint="eastAsia" w:ascii="仿宋_GB2312" w:hAnsi="仿宋_GB2312" w:eastAsia="仿宋_GB2312" w:cs="仿宋_GB2312"/>
                <w:sz w:val="21"/>
                <w:szCs w:val="21"/>
              </w:rPr>
            </w:pP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噪声处理措施</w:t>
            </w:r>
          </w:p>
        </w:tc>
        <w:tc>
          <w:tcPr>
            <w:tcW w:w="6723"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113" w:type="dxa"/>
            <w:vMerge w:val="continue"/>
            <w:vAlign w:val="center"/>
          </w:tcPr>
          <w:p>
            <w:pPr>
              <w:jc w:val="center"/>
              <w:rPr>
                <w:rFonts w:hint="eastAsia" w:ascii="仿宋_GB2312" w:hAnsi="仿宋_GB2312" w:eastAsia="仿宋_GB2312" w:cs="仿宋_GB2312"/>
                <w:sz w:val="21"/>
                <w:szCs w:val="21"/>
              </w:rPr>
            </w:pPr>
          </w:p>
        </w:tc>
        <w:tc>
          <w:tcPr>
            <w:tcW w:w="132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固废处理措施</w:t>
            </w:r>
          </w:p>
        </w:tc>
        <w:tc>
          <w:tcPr>
            <w:tcW w:w="6723" w:type="dxa"/>
            <w:vAlign w:val="center"/>
          </w:tcPr>
          <w:p>
            <w:pPr>
              <w:jc w:val="center"/>
              <w:rPr>
                <w:rFonts w:hint="eastAsia" w:ascii="仿宋_GB2312" w:hAnsi="仿宋_GB2312" w:eastAsia="仿宋_GB2312" w:cs="仿宋_GB2312"/>
                <w:sz w:val="21"/>
                <w:szCs w:val="21"/>
              </w:rPr>
            </w:pPr>
          </w:p>
        </w:tc>
      </w:tr>
    </w:tbl>
    <w:p>
      <w:pPr>
        <w:widowControl w:val="0"/>
        <w:adjustRightInd w:val="0"/>
        <w:snapToGrid w:val="0"/>
        <w:spacing w:before="163" w:beforeLines="50" w:line="240" w:lineRule="atLeast"/>
        <w:jc w:val="both"/>
        <w:outlineLvl w:val="4"/>
        <w:rPr>
          <w:rFonts w:hint="eastAsia" w:ascii="仿宋_GB2312" w:hAnsi="仿宋_GB2312" w:eastAsia="仿宋_GB2312" w:cs="仿宋_GB2312"/>
          <w:b/>
          <w:bCs/>
          <w:kern w:val="0"/>
          <w:sz w:val="20"/>
          <w:szCs w:val="32"/>
          <w:lang w:val="en-US" w:eastAsia="zh-CN" w:bidi="ar-SA"/>
        </w:rPr>
      </w:pPr>
    </w:p>
    <w:p>
      <w:pPr>
        <w:widowControl/>
        <w:spacing w:before="100" w:beforeAutospacing="1" w:after="100" w:afterAutospacing="1"/>
        <w:jc w:val="left"/>
        <w:outlineLvl w:val="2"/>
        <w:rPr>
          <w:rFonts w:hint="eastAsia" w:ascii="仿宋_GB2312" w:hAnsi="仿宋_GB2312" w:eastAsia="仿宋_GB2312" w:cs="仿宋_GB2312"/>
          <w:b/>
          <w:bCs/>
          <w:kern w:val="0"/>
          <w:sz w:val="27"/>
          <w:szCs w:val="27"/>
          <w:lang w:val="en-US" w:eastAsia="zh-CN" w:bidi="ar-SA"/>
        </w:rPr>
      </w:pPr>
      <w:r>
        <w:rPr>
          <w:rFonts w:hint="eastAsia" w:ascii="仿宋_GB2312" w:hAnsi="仿宋_GB2312" w:eastAsia="仿宋_GB2312" w:cs="仿宋_GB2312"/>
          <w:b/>
          <w:bCs/>
          <w:kern w:val="0"/>
          <w:sz w:val="27"/>
          <w:szCs w:val="27"/>
          <w:lang w:val="en-US" w:eastAsia="zh-CN" w:bidi="ar-SA"/>
        </w:rPr>
        <w:t>地理位置图、总平面布置图</w:t>
      </w:r>
    </w:p>
    <w:p>
      <w:pPr>
        <w:widowControl/>
        <w:spacing w:before="100" w:beforeAutospacing="1" w:after="100" w:afterAutospacing="1"/>
        <w:jc w:val="left"/>
        <w:outlineLvl w:val="2"/>
        <w:rPr>
          <w:rFonts w:hint="eastAsia" w:ascii="仿宋_GB2312" w:hAnsi="仿宋_GB2312" w:eastAsia="仿宋_GB2312" w:cs="仿宋_GB2312"/>
          <w:b/>
          <w:bCs/>
          <w:kern w:val="0"/>
          <w:sz w:val="27"/>
          <w:szCs w:val="27"/>
          <w:lang w:val="en-US" w:eastAsia="zh-CN" w:bidi="ar-SA"/>
        </w:rPr>
      </w:pPr>
    </w:p>
    <w:p>
      <w:pPr>
        <w:widowControl/>
        <w:spacing w:before="100" w:beforeAutospacing="1" w:after="100" w:afterAutospacing="1"/>
        <w:jc w:val="left"/>
        <w:outlineLvl w:val="2"/>
        <w:rPr>
          <w:rFonts w:hint="eastAsia" w:ascii="仿宋_GB2312" w:hAnsi="仿宋_GB2312" w:eastAsia="仿宋_GB2312" w:cs="仿宋_GB2312"/>
          <w:b/>
          <w:bCs/>
          <w:kern w:val="0"/>
          <w:sz w:val="27"/>
          <w:szCs w:val="27"/>
          <w:lang w:val="en-US" w:eastAsia="zh-CN" w:bidi="ar-SA"/>
        </w:rPr>
      </w:pPr>
    </w:p>
    <w:p>
      <w:pPr>
        <w:widowControl/>
        <w:spacing w:before="100" w:beforeAutospacing="1" w:after="100" w:afterAutospacing="1"/>
        <w:jc w:val="left"/>
        <w:outlineLvl w:val="2"/>
        <w:rPr>
          <w:rFonts w:hint="eastAsia" w:ascii="仿宋_GB2312" w:hAnsi="仿宋_GB2312" w:eastAsia="仿宋_GB2312" w:cs="仿宋_GB2312"/>
          <w:b/>
          <w:bCs/>
          <w:kern w:val="0"/>
          <w:sz w:val="27"/>
          <w:szCs w:val="27"/>
          <w:lang w:val="en-US" w:eastAsia="zh-CN" w:bidi="ar-SA"/>
        </w:rPr>
      </w:pPr>
    </w:p>
    <w:p>
      <w:pPr>
        <w:widowControl/>
        <w:spacing w:before="100" w:beforeAutospacing="1" w:after="100" w:afterAutospacing="1"/>
        <w:jc w:val="left"/>
        <w:outlineLvl w:val="2"/>
        <w:rPr>
          <w:rFonts w:hint="eastAsia" w:ascii="仿宋_GB2312" w:hAnsi="仿宋_GB2312" w:eastAsia="仿宋_GB2312" w:cs="仿宋_GB2312"/>
          <w:b/>
          <w:bCs/>
          <w:kern w:val="0"/>
          <w:sz w:val="27"/>
          <w:szCs w:val="27"/>
          <w:lang w:val="en-US" w:eastAsia="zh-CN" w:bidi="ar-SA"/>
        </w:rPr>
      </w:pPr>
    </w:p>
    <w:p>
      <w:pPr>
        <w:widowControl/>
        <w:spacing w:line="353" w:lineRule="atLeas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附件2、环保共性产业园认定（绿牌）申请指标评价表</w:t>
      </w:r>
    </w:p>
    <w:p>
      <w:pPr>
        <w:rPr>
          <w:rFonts w:hint="eastAsia" w:ascii="仿宋_GB2312" w:hAnsi="仿宋_GB2312" w:eastAsia="仿宋_GB2312" w:cs="仿宋_GB2312"/>
          <w:sz w:val="20"/>
          <w:szCs w:val="20"/>
        </w:rPr>
      </w:pPr>
    </w:p>
    <w:tbl>
      <w:tblPr>
        <w:tblStyle w:val="5"/>
        <w:tblW w:w="854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72"/>
        <w:gridCol w:w="455"/>
        <w:gridCol w:w="1295"/>
        <w:gridCol w:w="3463"/>
        <w:gridCol w:w="1338"/>
        <w:gridCol w:w="425"/>
        <w:gridCol w:w="545"/>
        <w:gridCol w:w="5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47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序号</w:t>
            </w:r>
          </w:p>
        </w:tc>
        <w:tc>
          <w:tcPr>
            <w:tcW w:w="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—级</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指标</w:t>
            </w: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二级指标</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具体评价要求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符合性说明及证明材料索引</w:t>
            </w: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分值</w:t>
            </w:r>
          </w:p>
        </w:tc>
        <w:tc>
          <w:tcPr>
            <w:tcW w:w="54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权重</w:t>
            </w: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自评分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restart"/>
            <w:tcBorders>
              <w:top w:val="outset" w:color="auto" w:sz="6" w:space="0"/>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455" w:type="dxa"/>
            <w:vMerge w:val="restart"/>
            <w:tcBorders>
              <w:top w:val="outset" w:color="auto" w:sz="6" w:space="0"/>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一般要求</w:t>
            </w: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规模</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核心区建筑面积不少于2万平方米</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w:t>
            </w:r>
          </w:p>
        </w:tc>
        <w:tc>
          <w:tcPr>
            <w:tcW w:w="545" w:type="dxa"/>
            <w:vMerge w:val="restart"/>
            <w:tcBorders>
              <w:top w:val="outset" w:color="auto" w:sz="6" w:space="0"/>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一票否决</w:t>
            </w: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合法合规性</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（1）满足</w:t>
            </w:r>
            <w:r>
              <w:rPr>
                <w:rFonts w:hint="eastAsia" w:ascii="仿宋_GB2312" w:hAnsi="仿宋_GB2312" w:eastAsia="仿宋_GB2312" w:cs="仿宋_GB2312"/>
                <w:sz w:val="21"/>
                <w:szCs w:val="22"/>
              </w:rPr>
              <w:t>《中山市环保共性产业园规划》建设要求；</w:t>
            </w: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（2）园区规划环评获得生态环境部门规划环评通过的审查意见</w:t>
            </w: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（3）建设内容无超出园区规划、规划环评要求的范围</w:t>
            </w: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（4）园区核心区建设满足已颁布的环保共性产业园行业标准要求（如核心区行业未颁布相关标准的，该项不考核）</w:t>
            </w:r>
          </w:p>
          <w:p>
            <w:pPr>
              <w:widowControl/>
              <w:spacing w:after="0"/>
              <w:jc w:val="left"/>
              <w:rPr>
                <w:rFonts w:hint="eastAsia" w:ascii="仿宋_GB2312" w:hAnsi="仿宋_GB2312" w:eastAsia="仿宋_GB2312" w:cs="仿宋_GB2312"/>
                <w:kern w:val="0"/>
                <w:sz w:val="24"/>
                <w:szCs w:val="21"/>
                <w:lang w:val="en-US" w:eastAsia="zh-CN" w:bidi="ar-SA"/>
              </w:rPr>
            </w:pPr>
            <w:r>
              <w:rPr>
                <w:rFonts w:hint="eastAsia" w:ascii="仿宋_GB2312" w:hAnsi="仿宋_GB2312" w:eastAsia="仿宋_GB2312" w:cs="仿宋_GB2312"/>
                <w:kern w:val="0"/>
                <w:sz w:val="24"/>
                <w:szCs w:val="21"/>
                <w:lang w:val="en-US" w:eastAsia="zh-CN" w:bidi="ar-SA"/>
              </w:rPr>
              <w:t>（5）</w:t>
            </w:r>
            <w:r>
              <w:rPr>
                <w:rFonts w:hint="eastAsia" w:ascii="仿宋_GB2312" w:hAnsi="仿宋_GB2312" w:eastAsia="仿宋_GB2312" w:cs="仿宋_GB2312"/>
                <w:kern w:val="2"/>
                <w:sz w:val="21"/>
                <w:szCs w:val="21"/>
                <w:lang w:val="en-US" w:eastAsia="zh-CN" w:bidi="ar-SA"/>
              </w:rPr>
              <w:t>规划环评及审查意见提出的污染防治措施及生态保护措施已落实，污染物稳定达标排放</w:t>
            </w: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（6）园区公共配套的污染防治措施已通过竣工环境保护验收</w:t>
            </w: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（6）申请日上溯1年内园区或园区内任一企业未发生重大及以上突发环境事件</w:t>
            </w: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（7）申请日上溯1年内园区或园区内任一企业未因环境违法行为受到行政处罚</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w:t>
            </w:r>
          </w:p>
        </w:tc>
        <w:tc>
          <w:tcPr>
            <w:tcW w:w="545" w:type="dxa"/>
            <w:vMerge w:val="continue"/>
            <w:tcBorders>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管理机构</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widowControl/>
              <w:spacing w:after="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设置园区管理机构，配备环保、应急等类型专职管理人员，其中生态环境保护专业技术职称技术人员不少于3人；园区管理机构须与前述专职管理人员签订劳动合同且购买社会保险</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w:t>
            </w:r>
          </w:p>
        </w:tc>
        <w:tc>
          <w:tcPr>
            <w:tcW w:w="545" w:type="dxa"/>
            <w:vMerge w:val="continue"/>
            <w:tcBorders>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widowControl/>
              <w:spacing w:after="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已制定颁布入驻环保共性产业园企业准入条件，并严格执行准入文件要求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w:t>
            </w:r>
          </w:p>
        </w:tc>
        <w:tc>
          <w:tcPr>
            <w:tcW w:w="545" w:type="dxa"/>
            <w:vMerge w:val="continue"/>
            <w:tcBorders>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配套建成废水、废气、噪声、固废、环境应急等集中污治、环境应急设施</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lang w:val="en"/>
              </w:rPr>
            </w:pPr>
            <w:r>
              <w:rPr>
                <w:rFonts w:hint="eastAsia" w:ascii="仿宋_GB2312" w:hAnsi="仿宋_GB2312" w:eastAsia="仿宋_GB2312" w:cs="仿宋_GB2312"/>
                <w:b/>
                <w:bCs/>
                <w:sz w:val="21"/>
                <w:szCs w:val="21"/>
                <w:lang w:val="en"/>
              </w:rPr>
              <w:t>/</w:t>
            </w:r>
          </w:p>
        </w:tc>
        <w:tc>
          <w:tcPr>
            <w:tcW w:w="545" w:type="dxa"/>
            <w:tcBorders>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lang w:val="en"/>
              </w:rPr>
            </w:pPr>
            <w:r>
              <w:rPr>
                <w:rFonts w:hint="eastAsia" w:ascii="仿宋_GB2312" w:hAnsi="仿宋_GB2312" w:eastAsia="仿宋_GB2312" w:cs="仿宋_GB2312"/>
                <w:b/>
                <w:bCs/>
                <w:sz w:val="21"/>
                <w:szCs w:val="21"/>
                <w:lang w:val="e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5" w:hRule="atLeast"/>
          <w:jc w:val="center"/>
        </w:trPr>
        <w:tc>
          <w:tcPr>
            <w:tcW w:w="472" w:type="dxa"/>
            <w:vMerge w:val="restart"/>
            <w:tcBorders>
              <w:top w:val="outset" w:color="auto" w:sz="6" w:space="0"/>
              <w:left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55" w:type="dxa"/>
            <w:vMerge w:val="restart"/>
            <w:tcBorders>
              <w:top w:val="outset" w:color="auto" w:sz="6" w:space="0"/>
              <w:left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基础设施</w:t>
            </w:r>
          </w:p>
        </w:tc>
        <w:tc>
          <w:tcPr>
            <w:tcW w:w="1295" w:type="dxa"/>
            <w:vMerge w:val="restar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建筑应满足国家或地方相关法律法规及标准的要求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restar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top w:val="outset" w:color="auto" w:sz="6" w:space="0"/>
              <w:left w:val="outset" w:color="auto" w:sz="6" w:space="0"/>
              <w:bottom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新建、改建和扩建建筑时，应遵守国家“固定资产投资项目节能评估审查制度”“三同时制度”“工业项目建设用地控制指标”等产业政策和有关要求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top w:val="outset" w:color="auto" w:sz="6" w:space="0"/>
              <w:left w:val="outset" w:color="auto" w:sz="6" w:space="0"/>
              <w:bottom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建设的危险化学品集中储存场所进行分区、分类、分库管理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top w:val="outset" w:color="auto" w:sz="6" w:space="0"/>
              <w:left w:val="outset" w:color="auto" w:sz="6" w:space="0"/>
              <w:bottom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车间布局合理，干湿分离，不同区域界线分明</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top w:val="outset" w:color="auto" w:sz="6" w:space="0"/>
              <w:left w:val="outset" w:color="auto" w:sz="6" w:space="0"/>
              <w:bottom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再生资源及能源利用：（1）可再生能源的使用占建筑总能耗的比例大于10%；（2）采用节水器具和设备，节水率不低于10%。（3）设置雨水回收系统</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restart"/>
            <w:tcBorders>
              <w:top w:val="outset" w:color="auto" w:sz="6" w:space="0"/>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公共配套设施</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实施雨污分流</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工业废水分类分质收集（不产生工业废水的，直接得满分）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工业废水输送管道全部明管明渠铺设（不产生工业废水的，直接得满分）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工业废水收集管线设置防泄漏设施 （不产生工业废水的，直接得满分）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配备的集中废水水处理设施配备与生态环境部门联网的在线监测设施（不涉及工业废水排放的，直接得满分）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污水处理设施配备应急能力，并有完善的事故防范措施（不产生工业废水的，直接得满分）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废气产生工段具备密闭条件，废气产生区域形成微负压，减少无组织排放</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废气收集管道布设规范，不同废气分类收集，同一栋楼相同类型废气设置1个排放口</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设置的统一危险废物储存场所满足危废规范化管理要求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园区具备危险废物收集及综合利用能力</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一般固体废物储存场所规范设置</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配备实验室（化验室），具备常规监测因子及园区特征污染物监测能力</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核心区边界设置自动空气监测微站，实现主要污染物实时监测</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配备覆盖园区的高清摄像设备，实现园区无死角监控</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集中供热（无需热源的直接得满分）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园区配备必要的能源、水以及其他资源的计量器具和装置。办公生活用电、生产用电“两电”分设，办公生活用水、生产用水“两水”分设</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配备数据管理中心，园区管理实现信息化、智能化，实现用水、用能、污染物排放情况实时监控及统计分析</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vMerge w:val="continue"/>
            <w:tcBorders>
              <w:left w:val="outset" w:color="auto" w:sz="6" w:space="0"/>
              <w:bottom w:val="outset" w:color="auto" w:sz="6" w:space="0"/>
              <w:right w:val="outset" w:color="auto" w:sz="6" w:space="0"/>
            </w:tcBorders>
            <w:vAlign w:val="center"/>
          </w:tcPr>
          <w:p>
            <w:pPr>
              <w:jc w:val="center"/>
              <w:rPr>
                <w:rFonts w:hint="eastAsia" w:ascii="仿宋_GB2312" w:hAnsi="仿宋_GB2312" w:eastAsia="仿宋_GB2312" w:cs="仿宋_GB2312"/>
                <w:sz w:val="21"/>
                <w:szCs w:val="21"/>
              </w:rPr>
            </w:pP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配备的应急设施符合相关要求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45"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restar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55" w:type="dxa"/>
            <w:vMerge w:val="restar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管理体系</w:t>
            </w:r>
          </w:p>
        </w:tc>
        <w:tc>
          <w:tcPr>
            <w:tcW w:w="1295" w:type="dxa"/>
            <w:tcBorders>
              <w:top w:val="outset" w:color="auto" w:sz="6" w:space="0"/>
              <w:left w:val="outset" w:color="auto" w:sz="6" w:space="0"/>
              <w:bottom w:val="single" w:color="auto" w:sz="4"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一般要求</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管理体系完善</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545" w:type="dxa"/>
            <w:vMerge w:val="restar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tcBorders>
              <w:top w:val="single" w:color="auto" w:sz="4" w:space="0"/>
              <w:left w:val="outset" w:color="auto" w:sz="6" w:space="0"/>
              <w:bottom w:val="single" w:color="auto" w:sz="4" w:space="0"/>
              <w:right w:val="outset" w:color="auto" w:sz="6"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质量管理体系</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建立、实施并保持满足要求质量管理体系</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tcBorders>
              <w:top w:val="single" w:color="auto" w:sz="4" w:space="0"/>
              <w:left w:val="outset" w:color="auto" w:sz="6" w:space="0"/>
              <w:bottom w:val="outset" w:color="auto" w:sz="6" w:space="0"/>
              <w:right w:val="outset" w:color="auto" w:sz="6"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健康安全管理体系</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建立、实施并保持满足要求的职业健康安全管理体系</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环境管理体系</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建立、实施并保持满足的环境管理体系</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能源管理体系</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工厂建立、实施并保持满足GB/T23331要求的能源管理体系</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45" w:hRule="atLeast"/>
          <w:jc w:val="center"/>
        </w:trPr>
        <w:tc>
          <w:tcPr>
            <w:tcW w:w="472"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社会责任</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每年发布社会责任报告，说明履行利益相关方责任的情况，特别是环境社会责任的履</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"http://www.tanpaifang.com/tanhangqing" \t "_blank"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color w:val="auto"/>
                <w:sz w:val="21"/>
                <w:szCs w:val="21"/>
                <w:u w:val="none"/>
              </w:rPr>
              <w:t>行情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况（提供报告公开情况可得分）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6" w:hRule="atLeast"/>
          <w:jc w:val="center"/>
        </w:trPr>
        <w:tc>
          <w:tcPr>
            <w:tcW w:w="472" w:type="dxa"/>
            <w:vMerge w:val="restar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455" w:type="dxa"/>
            <w:vMerge w:val="restar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环境排放</w:t>
            </w: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大气污染物</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大气污染物排放应符合相关国家标准、行业标准及地方标准要求，并满足区域内排放总量控制要求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545" w:type="dxa"/>
            <w:vMerge w:val="restar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水体污染物</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水污染物排放应符合相关国家标准、行业标准及地方标准要求，或在满足要求的前提下委托具备相应能力和资质的处理厂进行处理，并满足区域内排放总量控制要求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固体废弃物</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固体废物的处理符合GB 18599及相关标准的要求。固体废物立足于综合利用，无法利用的转交给具备相应能力和资质的处理厂进行处理</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472"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45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129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噪声</w:t>
            </w:r>
          </w:p>
        </w:tc>
        <w:tc>
          <w:tcPr>
            <w:tcW w:w="346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工厂的厂界环境噪声排放应符合相关国家标准、行业标准及地方标准要求</w:t>
            </w:r>
          </w:p>
        </w:tc>
        <w:tc>
          <w:tcPr>
            <w:tcW w:w="133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c>
          <w:tcPr>
            <w:tcW w:w="42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54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z w:val="21"/>
                <w:szCs w:val="21"/>
              </w:rPr>
            </w:pPr>
          </w:p>
        </w:tc>
        <w:tc>
          <w:tcPr>
            <w:tcW w:w="55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pPr>
              <w:jc w:val="left"/>
              <w:rPr>
                <w:rFonts w:hint="eastAsia" w:ascii="仿宋_GB2312" w:hAnsi="仿宋_GB2312" w:eastAsia="仿宋_GB2312" w:cs="仿宋_GB2312"/>
                <w:sz w:val="21"/>
                <w:szCs w:val="21"/>
              </w:rPr>
            </w:pPr>
          </w:p>
        </w:tc>
      </w:tr>
    </w:tbl>
    <w:p>
      <w:pPr>
        <w:keepNext/>
        <w:keepLines/>
        <w:widowControl w:val="0"/>
        <w:spacing w:before="163" w:after="163" w:line="578" w:lineRule="auto"/>
        <w:jc w:val="both"/>
        <w:outlineLvl w:val="0"/>
        <w:rPr>
          <w:rFonts w:hint="eastAsia" w:ascii="仿宋_GB2312" w:hAnsi="仿宋_GB2312" w:eastAsia="仿宋_GB2312" w:cs="仿宋_GB2312"/>
          <w:b/>
          <w:bCs/>
          <w:kern w:val="44"/>
          <w:sz w:val="44"/>
          <w:szCs w:val="44"/>
          <w:lang w:val="en-US" w:eastAsia="zh-CN" w:bidi="ar-SA"/>
        </w:rPr>
      </w:pPr>
      <w:r>
        <w:rPr>
          <w:rFonts w:hint="eastAsia" w:ascii="仿宋_GB2312" w:hAnsi="仿宋_GB2312" w:eastAsia="仿宋_GB2312" w:cs="仿宋_GB2312"/>
          <w:b/>
          <w:bCs/>
          <w:kern w:val="44"/>
          <w:sz w:val="44"/>
          <w:szCs w:val="44"/>
          <w:lang w:val="en-US" w:eastAsia="zh-CN" w:bidi="ar-SA"/>
        </w:rPr>
        <w:t>三、附件（承诺函、评价体系佐证材料，包括指标计算过程）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ind w:firstLine="360"/>
      <w:jc w:val="left"/>
      <w:rPr>
        <w:rFonts w:ascii="宋体" w:hAnsi="宋体"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jc w:val="center"/>
      <w:rPr>
        <w:rFonts w:ascii="宋体" w:hAnsi="宋体"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ind w:firstLine="360"/>
      <w:jc w:val="left"/>
      <w:rPr>
        <w:rFonts w:ascii="宋体" w:hAnsi="宋体" w:eastAsia="宋体" w:cs="Times New Roman"/>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jc w:val="center"/>
      <w:rPr>
        <w:rFonts w:ascii="宋体" w:hAnsi="宋体" w:eastAsia="宋体" w:cs="Times New Roman"/>
        <w:kern w:val="0"/>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jc w:val="center"/>
      <w:rPr>
        <w:rFonts w:ascii="宋体" w:hAnsi="宋体" w:eastAsia="宋体" w:cs="Times New Roman"/>
        <w:kern w:val="0"/>
        <w:sz w:val="18"/>
        <w:szCs w:val="18"/>
        <w:lang w:val="en-US" w:eastAsia="zh-CN" w:bidi="ar-SA"/>
      </w:rPr>
    </w:pPr>
    <w:r>
      <w:rPr>
        <w:rFonts w:ascii="宋体" w:hAnsi="宋体" w:eastAsia="宋体" w:cs="Times New Roman"/>
        <w:kern w:val="0"/>
        <w:sz w:val="18"/>
        <w:szCs w:val="18"/>
        <w:lang w:val="en-US" w:eastAsia="zh-CN" w:bidi="ar-SA"/>
      </w:rPr>
      <w:fldChar w:fldCharType="begin"/>
    </w:r>
    <w:r>
      <w:rPr>
        <w:rFonts w:ascii="宋体" w:hAnsi="宋体" w:eastAsia="宋体" w:cs="Times New Roman"/>
        <w:kern w:val="0"/>
        <w:sz w:val="18"/>
        <w:szCs w:val="18"/>
        <w:lang w:val="en-US" w:eastAsia="zh-CN" w:bidi="ar-SA"/>
      </w:rPr>
      <w:instrText xml:space="preserve"> PAGE   \* MERGEFORMAT </w:instrText>
    </w:r>
    <w:r>
      <w:rPr>
        <w:rFonts w:ascii="宋体" w:hAnsi="宋体" w:eastAsia="宋体" w:cs="Times New Roman"/>
        <w:kern w:val="0"/>
        <w:sz w:val="18"/>
        <w:szCs w:val="18"/>
        <w:lang w:val="en-US" w:eastAsia="zh-CN" w:bidi="ar-SA"/>
      </w:rPr>
      <w:fldChar w:fldCharType="separate"/>
    </w:r>
    <w:r>
      <w:rPr>
        <w:rFonts w:ascii="宋体" w:hAnsi="宋体" w:eastAsia="宋体" w:cs="Times New Roman"/>
        <w:kern w:val="0"/>
        <w:sz w:val="18"/>
        <w:szCs w:val="18"/>
        <w:lang w:val="zh-CN" w:eastAsia="zh-CN" w:bidi="ar-SA"/>
      </w:rPr>
      <w:t>II</w:t>
    </w:r>
    <w:r>
      <w:rPr>
        <w:rFonts w:ascii="宋体" w:hAnsi="宋体" w:eastAsia="宋体" w:cs="Times New Roman"/>
        <w:kern w:val="0"/>
        <w:sz w:val="18"/>
        <w:szCs w:val="18"/>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ind w:firstLine="360"/>
      <w:jc w:val="left"/>
      <w:rPr>
        <w:rFonts w:ascii="宋体" w:hAnsi="宋体" w:eastAsia="宋体" w:cs="Times New Roman"/>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jc w:val="center"/>
      <w:rPr>
        <w:rFonts w:ascii="等线" w:hAnsi="等线" w:eastAsia="等线" w:cs="Times New Roman"/>
        <w:sz w:val="21"/>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jc w:val="center"/>
      <w:rPr>
        <w:rFonts w:ascii="等线" w:hAnsi="等线" w:eastAsia="等线" w:cs="Times New Roman"/>
        <w:sz w:val="21"/>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6" w:space="1"/>
      </w:pBdr>
      <w:tabs>
        <w:tab w:val="center" w:pos="4153"/>
        <w:tab w:val="right" w:pos="8306"/>
      </w:tabs>
      <w:snapToGrid w:val="0"/>
      <w:spacing w:before="120"/>
      <w:ind w:firstLine="360"/>
      <w:jc w:val="center"/>
      <w:rPr>
        <w:rFonts w:ascii="宋体" w:hAnsi="宋体" w:eastAsia="宋体" w:cs="Times New Roman"/>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jc w:val="center"/>
      <w:rPr>
        <w:rFonts w:ascii="等线" w:hAnsi="等线" w:eastAsia="等线" w:cs="Times New Roman"/>
        <w:sz w:val="21"/>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left="360"/>
      <w:rPr>
        <w:rFonts w:ascii="等线" w:hAnsi="等线" w:eastAsia="等线" w:cs="Times New Roman"/>
        <w:sz w:val="21"/>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6" w:space="1"/>
      </w:pBdr>
      <w:tabs>
        <w:tab w:val="center" w:pos="4153"/>
        <w:tab w:val="right" w:pos="8306"/>
      </w:tabs>
      <w:snapToGrid w:val="0"/>
      <w:spacing w:before="120"/>
      <w:ind w:firstLine="360"/>
      <w:jc w:val="center"/>
      <w:rPr>
        <w:rFonts w:ascii="宋体" w:hAnsi="宋体"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2A3D"/>
    <w:multiLevelType w:val="singleLevel"/>
    <w:tmpl w:val="7FBE2A3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F2EE0"/>
    <w:rsid w:val="3CCF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ind w:firstLine="608" w:firstLineChars="225"/>
    </w:pPr>
    <w:rPr>
      <w:rFonts w:ascii="宋体" w:hAnsi="宋体" w:eastAsia="宋体"/>
      <w:sz w:val="24"/>
      <w:szCs w:val="24"/>
    </w:rPr>
  </w:style>
  <w:style w:type="paragraph" w:styleId="3">
    <w:name w:val="Body Text"/>
    <w:basedOn w:val="1"/>
    <w:next w:val="4"/>
    <w:qFormat/>
    <w:uiPriority w:val="0"/>
    <w:pPr>
      <w:spacing w:after="120"/>
    </w:pPr>
  </w:style>
  <w:style w:type="paragraph" w:styleId="4">
    <w:name w:val="toc 5"/>
    <w:basedOn w:val="1"/>
    <w:next w:val="1"/>
    <w:qFormat/>
    <w:uiPriority w:val="0"/>
    <w:pPr>
      <w:suppressAutoHyphens/>
      <w:ind w:left="1680" w:leftChars="800"/>
    </w:pPr>
    <w:rPr>
      <w:rFonts w:eastAsia="宋体"/>
      <w:kern w:val="1"/>
      <w:sz w:val="21"/>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2022-12-23T01:55:00Z</dcterms:created>
  <dc:creator>胡辉旺</dc:creator>
  <cp:lastModifiedBy>胡辉旺</cp:lastModifiedBy>
  <dcterms:modified xsi:type="dcterms:W3CDTF">2022-12-23T02:38:32Z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916443D8D0274BBDA8A78F26E4E3B749</vt:lpwstr>
  </property>
</Properties>
</file>