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rPr>
      </w:pPr>
      <w:r>
        <w:rPr>
          <w:rFonts w:hint="eastAsia" w:ascii="仿宋_GB2312" w:hAnsi="宋体" w:eastAsia="仿宋_GB2312"/>
          <w:sz w:val="32"/>
          <w:szCs w:val="32"/>
        </w:rPr>
        <w:t>附件2</w:t>
      </w:r>
    </w:p>
    <w:p>
      <w:pPr>
        <w:jc w:val="center"/>
        <w:rPr>
          <w:rFonts w:hint="eastAsia" w:ascii="方正小标宋简体" w:hAnsi="宋体" w:eastAsia="方正小标宋简体"/>
          <w:sz w:val="32"/>
          <w:szCs w:val="32"/>
        </w:rPr>
      </w:pPr>
      <w:r>
        <w:rPr>
          <w:rFonts w:hint="eastAsia" w:ascii="创艺简标宋" w:hAnsi="创艺简标宋" w:eastAsia="创艺简标宋" w:cs="创艺简标宋"/>
          <w:sz w:val="32"/>
          <w:szCs w:val="32"/>
          <w:lang w:eastAsia="zh-CN"/>
        </w:rPr>
        <w:t>翠亨新区（</w:t>
      </w:r>
      <w:r>
        <w:rPr>
          <w:rFonts w:hint="eastAsia" w:ascii="创艺简标宋" w:hAnsi="创艺简标宋" w:eastAsia="创艺简标宋" w:cs="创艺简标宋"/>
          <w:sz w:val="32"/>
          <w:szCs w:val="32"/>
        </w:rPr>
        <w:t>南朗</w:t>
      </w:r>
      <w:r>
        <w:rPr>
          <w:rFonts w:hint="eastAsia" w:ascii="创艺简标宋" w:hAnsi="创艺简标宋" w:eastAsia="创艺简标宋" w:cs="创艺简标宋"/>
          <w:sz w:val="32"/>
          <w:szCs w:val="32"/>
          <w:lang w:eastAsia="zh-CN"/>
        </w:rPr>
        <w:t>街道）</w:t>
      </w:r>
      <w:r>
        <w:rPr>
          <w:rFonts w:hint="eastAsia" w:ascii="创艺简标宋" w:hAnsi="创艺简标宋" w:eastAsia="创艺简标宋" w:cs="创艺简标宋"/>
          <w:sz w:val="32"/>
          <w:szCs w:val="32"/>
        </w:rPr>
        <w:t>创业孵化基地认定评价要点</w:t>
      </w:r>
    </w:p>
    <w:p>
      <w:pPr>
        <w:jc w:val="center"/>
        <w:rPr>
          <w:rFonts w:hint="eastAsia" w:ascii="仿宋_GB2312" w:hAnsi="宋体" w:eastAsia="仿宋_GB2312"/>
          <w:sz w:val="32"/>
          <w:szCs w:val="32"/>
        </w:rPr>
      </w:pPr>
    </w:p>
    <w:tbl>
      <w:tblPr>
        <w:tblStyle w:val="8"/>
        <w:tblW w:w="0" w:type="auto"/>
        <w:jc w:val="center"/>
        <w:tblLayout w:type="fixed"/>
        <w:tblCellMar>
          <w:top w:w="0" w:type="dxa"/>
          <w:left w:w="108" w:type="dxa"/>
          <w:bottom w:w="0" w:type="dxa"/>
          <w:right w:w="108" w:type="dxa"/>
        </w:tblCellMar>
      </w:tblPr>
      <w:tblGrid>
        <w:gridCol w:w="1635"/>
        <w:gridCol w:w="5580"/>
        <w:gridCol w:w="1800"/>
      </w:tblGrid>
      <w:tr>
        <w:tblPrEx>
          <w:tblCellMar>
            <w:top w:w="0" w:type="dxa"/>
            <w:left w:w="108" w:type="dxa"/>
            <w:bottom w:w="0" w:type="dxa"/>
            <w:right w:w="108" w:type="dxa"/>
          </w:tblCellMar>
        </w:tblPrEx>
        <w:trPr>
          <w:trHeight w:val="1570"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评估项目</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评价标准</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评价意见</w:t>
            </w:r>
          </w:p>
        </w:tc>
      </w:tr>
      <w:tr>
        <w:tblPrEx>
          <w:tblCellMar>
            <w:top w:w="0" w:type="dxa"/>
            <w:left w:w="108" w:type="dxa"/>
            <w:bottom w:w="0" w:type="dxa"/>
            <w:right w:w="108" w:type="dxa"/>
          </w:tblCellMar>
        </w:tblPrEx>
        <w:trPr>
          <w:trHeight w:val="810"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基本条件</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有固定的场所，地理边界明确，具备营商环境，经营产权清晰，使用（租用）期限不少于3年，合同明确。</w:t>
            </w:r>
          </w:p>
        </w:tc>
        <w:tc>
          <w:tcPr>
            <w:tcW w:w="1800" w:type="dxa"/>
            <w:tcBorders>
              <w:top w:val="single" w:color="auto" w:sz="4" w:space="0"/>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配套设施</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有道路、水、电、排水、消防、通讯、网络、环保等基础配套设施。</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810"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占地面积</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基地建筑面积不少于1000平方米（电子商务类、特色型创业孵化基地和高校等投资设立的非营利性孵化基地可适当放宽）。</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525"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可供数量</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可孵化创业实体数量达到30个以上。</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525"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已有数量</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已有创业实体9个以上。</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285"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设立资格</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具有独立的法人资格。</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498"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服务窗口</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配套有咨询受理、政务代理、后勤服务功能窗口。</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760"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服务准则</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应配备创业就业扶持政策宣传，管理团队架构图、创业服务流程、入园（入孵）程序、创业服务准则。</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285"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办公场所</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配套有所需的办公场所和公共多功能会议室。</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539"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信息设备</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具有与市人力资源和社会保障系统对接的信息化管理设备设施。</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1335"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制度建立</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悬挂</w:t>
            </w:r>
            <w:r>
              <w:rPr>
                <w:rFonts w:hint="eastAsia" w:ascii="宋体" w:hAnsi="宋体" w:cs="宋体"/>
                <w:kern w:val="0"/>
                <w:sz w:val="20"/>
                <w:szCs w:val="20"/>
              </w:rPr>
              <w:t>财务</w:t>
            </w:r>
            <w:r>
              <w:rPr>
                <w:rFonts w:hint="eastAsia" w:ascii="宋体" w:hAnsi="宋体" w:cs="宋体"/>
                <w:color w:val="000000"/>
                <w:kern w:val="0"/>
                <w:sz w:val="20"/>
                <w:szCs w:val="20"/>
              </w:rPr>
              <w:t>管理制度、</w:t>
            </w:r>
            <w:r>
              <w:rPr>
                <w:rFonts w:hint="eastAsia" w:ascii="宋体" w:hAnsi="宋体" w:cs="宋体"/>
                <w:kern w:val="0"/>
                <w:sz w:val="20"/>
                <w:szCs w:val="20"/>
              </w:rPr>
              <w:t>消防安全</w:t>
            </w:r>
            <w:r>
              <w:rPr>
                <w:rFonts w:hint="eastAsia" w:ascii="宋体" w:hAnsi="宋体" w:cs="宋体"/>
                <w:color w:val="000000"/>
                <w:kern w:val="0"/>
                <w:sz w:val="20"/>
                <w:szCs w:val="20"/>
              </w:rPr>
              <w:t>管理制度、</w:t>
            </w:r>
            <w:r>
              <w:rPr>
                <w:rFonts w:hint="eastAsia" w:ascii="宋体" w:hAnsi="宋体" w:cs="宋体"/>
                <w:kern w:val="0"/>
                <w:sz w:val="20"/>
                <w:szCs w:val="20"/>
              </w:rPr>
              <w:t>安全生产管理制度、主任岗位职责、副主任管理岗位职责、综合部主管岗位职责、综合部人员岗位职责、后勤部主管岗位职责、后勤部人员岗位职责。</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422"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市创业导师</w:t>
            </w:r>
          </w:p>
        </w:tc>
        <w:tc>
          <w:tcPr>
            <w:tcW w:w="558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配备5名市级创业导师</w:t>
            </w:r>
          </w:p>
        </w:tc>
        <w:tc>
          <w:tcPr>
            <w:tcW w:w="1800" w:type="dxa"/>
            <w:tcBorders>
              <w:top w:val="nil"/>
              <w:left w:val="nil"/>
              <w:bottom w:val="single" w:color="auto" w:sz="4" w:space="0"/>
              <w:right w:val="single" w:color="auto" w:sz="4" w:space="0"/>
            </w:tcBorders>
            <w:noWrap w:val="0"/>
            <w:vAlign w:val="top"/>
          </w:tcPr>
          <w:p>
            <w:pPr>
              <w:widowControl/>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94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专家评定意见</w:t>
            </w:r>
          </w:p>
        </w:tc>
        <w:tc>
          <w:tcPr>
            <w:tcW w:w="738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r>
    </w:tbl>
    <w:p>
      <w:pPr>
        <w:ind w:firstLine="640" w:firstLineChars="200"/>
        <w:rPr>
          <w:rFonts w:hint="eastAsia" w:ascii="仿宋_GB2312" w:hAnsi="宋体" w:eastAsia="仿宋_GB2312"/>
          <w:sz w:val="32"/>
          <w:szCs w:val="32"/>
        </w:rPr>
      </w:pPr>
    </w:p>
    <w:p>
      <w:bookmarkStart w:id="0" w:name="_GoBack"/>
      <w:bookmarkEnd w:id="0"/>
    </w:p>
    <w:sectPr>
      <w:headerReference r:id="rId3" w:type="default"/>
      <w:footerReference r:id="rId4" w:type="default"/>
      <w:pgSz w:w="11906" w:h="16838"/>
      <w:pgMar w:top="1701" w:right="1587" w:bottom="158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panose1 w:val="00000000000000000000"/>
    <w:charset w:val="80"/>
    <w:family w:val="auto"/>
    <w:pitch w:val="default"/>
    <w:sig w:usb0="00000283" w:usb1="180F1C10" w:usb2="00000016" w:usb3="00000000" w:csb0="40020001" w:csb1="C0D6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5103"/>
        <w:tab w:val="clear" w:pos="4153"/>
      </w:tabs>
      <w:ind w:firstLine="0" w:firstLineChars="0"/>
      <w:jc w:val="both"/>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736D5"/>
    <w:rsid w:val="180F6146"/>
    <w:rsid w:val="1A0736D5"/>
    <w:rsid w:val="3535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3"/>
    <w:next w:val="5"/>
    <w:qFormat/>
    <w:uiPriority w:val="0"/>
    <w:pPr>
      <w:keepNext/>
      <w:keepLines/>
      <w:spacing w:before="340" w:beforeLines="0" w:beforeAutospacing="0" w:after="330" w:afterLines="0" w:afterAutospacing="0" w:line="576" w:lineRule="auto"/>
      <w:jc w:val="left"/>
      <w:outlineLvl w:val="0"/>
    </w:pPr>
    <w:rPr>
      <w:rFonts w:ascii="Arial" w:hAnsi="Arial" w:eastAsia="黑体" w:cs="Times New Roman"/>
      <w:b w:val="0"/>
      <w:kern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szCs w:val="44"/>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中山市南朗镇人民政府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2022-12-15T10:19:00Z</dcterms:created>
  <dc:creator>vk</dc:creator>
  <cp:lastModifiedBy>vk</cp:lastModifiedBy>
  <dcterms:modified xsi:type="dcterms:W3CDTF">2022-12-15T10:19:38Z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