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  <w:lang w:eastAsia="zh-CN"/>
        </w:rPr>
        <w:t>古镇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</w:rPr>
        <w:t>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pacing w:val="-6"/>
          <w:sz w:val="44"/>
          <w:szCs w:val="44"/>
          <w:highlight w:val="none"/>
          <w:u w:val="none"/>
          <w:lang w:eastAsia="zh-CN"/>
        </w:rPr>
        <w:t>区锦洪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</w:rPr>
        <w:t>“工改工”宗地项目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</w:rPr>
        <w:t>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根据中山市城市更新（“三旧”改造）专项规划和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经批复规划条件论证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古镇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镇人民政府拟对位于古镇镇曹二村东岸公路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399号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区锦洪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旧厂房用地进行改造，由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区锦洪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改造，采取全面改造的改造方式。改造方案如下：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古镇镇曹二村东岸北路399号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，北至东岸北路397号，南至东岸北路401号，东至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拱北河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，西至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古神公路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，用地面积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0.9089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公顷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9089.1平方米，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13.63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  <w:t>标图入库情况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改造地块于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sz w:val="32"/>
          <w:szCs w:val="32"/>
          <w:highlight w:val="none"/>
          <w:u w:val="none"/>
        </w:rPr>
        <w:t>201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6月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纳入“三旧”标图入库，图斑编号44200028045，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纳入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图斑面积0.906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9065.42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平方米，折合约13.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亩），纳入本次改造范围，为改造主体地块；另有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0.0024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23.68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平方米，折合约0.0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亩）未纳入“三旧”标图入库，不纳入本次改造范围。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  <w:t>（三）权属情况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改造范围内全部属国有建设用地，土地用途为工业，改造涉及的土地已经确权、登记，土地证号为中府国用（2003）第101365号，为土地权利人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区锦洪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1997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  <w:t>（四）土地利用现状情况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现有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栋建筑物，为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区锦洪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1997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年开始使用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合法规划报建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、验收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手续，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无房产证，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现有建筑面积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4379.2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1.0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，作工业厂房所用。该地块目前已拆除建筑面积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平方米，改造前年产值为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万元，年税收为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改造主体地块不涉及闲置、历史文化资源要素、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不涉及土壤环境潜在监管地块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属自行改造，不涉及供地及历史用地处理问题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；改造主体地块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抵押给中山市农村商业银行股份有限公司古镇支行营业部，抵押权人同意将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涉及土地、房屋纳入改造范围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  <w:u w:val="none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yellow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改造主体地块基本符合土地利用总体规划、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经批复规划条件论证，已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纳入现行《中山市“三旧”改造（城市更新）专项规划（2017-2020）》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其中，在土地利用总体规划中，属城镇建设用地0.906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公顷（906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5.42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平方米，折合约13.60亩）；在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《中山市古镇镇工业用地规划条件论证报告》（中府函〔2022〕306号）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，一类工业用地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0.6575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公顷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6574.5平方米，折合约9.86亩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规划容积率1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-3.5，建筑密度35%-60%，绿地率10%-15%，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生产性建筑高度≤50米（特殊工艺除外），配套设施建筑高度≤100米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；公园绿地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0.1475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公顷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1475平方米，折合约2.21亩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）；道路用地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0.1016公顷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1015.92平方米，折合约1.52亩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改造主体地块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位于城镇开发边界内，属于一级工业用地保护性范围；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不涉及永久基本农田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及补划地块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、生态保护红线等管控要求，将按照《中山市市域蓝线规划（2020）》和河道管理有关要求开发建设。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区锦洪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古镇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镇人民政府已按照法律法规，就改造范围、土地现状、改造主体及拟改造情况等事项征询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改造意愿，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改造主体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同意将涉及土地、房屋纳入改造范围。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根据有关规划要求，改造项目严格按照土地利用总体规划、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经批复规划条件论证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管控要求实施建设。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经批复规划条件论证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中属道路和绿地等公益性用地部分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日后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古镇镇人民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政府需按规划开发建设时，应无偿将用地交给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古镇镇人民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yellow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改造项目拟采取权利人自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改造方式，由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土地权利人区锦洪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作为改造主体，实施全面改造。改造后主营照明器具制造、电子器件制造等行业，包括但不限于生产制造户外太阳能照明灯具及户外装饰灯饰、OLED节能环保产品、智能室内灯饰及办公照明灯饰灯具等产品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在符合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经批复规划条件论证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的基础上，容积率不小于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3.0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新建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建筑面积不小于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28270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平方米），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保留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原有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red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项目相关情况符合国家《产业结构调整指导目录》、《中山市差别化环保准入促进区域发展实施细则》、《中山市涉挥发性有机物项目环保准入管理规定》。改造后年产值将达到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万元，年税收将达到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545.2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改造主体拟投入资金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3200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1200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期开发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开发时间为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月，拟投入资金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3200万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元，拟建建筑面积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不少于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28270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平方米），主要实施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建设工业厂房。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实施监管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古镇镇人民政府对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区锦洪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“工改工”宗地项目实施监管。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区锦洪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权利人需按照监管协议在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10日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前完成建（构）筑物及其附属设施清理拆除工作，在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日前进行施工报建、于两年内完成厂房建设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验收手续。如因不可抗力导致项目进度滞后的，需向镇、市相关部门汇报情况，申请适当延期。如未能按期完成施工报建、厂房建设，古镇镇人民政府将按照监管协议进行处罚。</w:t>
      </w:r>
    </w:p>
    <w:sectPr>
      <w:footerReference r:id="rId3" w:type="default"/>
      <w:pgSz w:w="11906" w:h="16838"/>
      <w:pgMar w:top="2098" w:right="1587" w:bottom="2098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方正仿宋简体"/>
                              <w:sz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简体"/>
                              <w:sz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方正仿宋简体"/>
                              <w:sz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方正仿宋简体"/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简体"/>
                              <w:sz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简体"/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简体"/>
                              <w:sz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方正仿宋简体"/>
                              <w:sz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方正仿宋简体"/>
                              <w:sz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fYpizTAAAABgEAAA8AAAAAAAAAAQAgAAAAIgAAAGRycy9kb3ducmV2LnhtbFBLAQIU&#10;ABQAAAAIAIdO4kAkgka0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方正仿宋简体"/>
                        <w:sz w:val="30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方正仿宋简体"/>
                        <w:sz w:val="30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方正仿宋简体"/>
                        <w:sz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方正仿宋简体"/>
                        <w:sz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简体"/>
                        <w:sz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简体"/>
                        <w:sz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简体"/>
                        <w:sz w:val="30"/>
                      </w:rPr>
                      <w:t>1</w:t>
                    </w:r>
                    <w:r>
                      <w:rPr>
                        <w:rFonts w:ascii="Times New Roman" w:hAnsi="Times New Roman" w:eastAsia="方正仿宋简体"/>
                        <w:sz w:val="30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方正仿宋简体"/>
                        <w:sz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NjRmN2M2YWM1YmMwNDM5NjA4NmRlZmVjOTNhOGYifQ=="/>
  </w:docVars>
  <w:rsids>
    <w:rsidRoot w:val="7A9324EA"/>
    <w:rsid w:val="00B432D4"/>
    <w:rsid w:val="00EB1C0E"/>
    <w:rsid w:val="034D0424"/>
    <w:rsid w:val="047D34C5"/>
    <w:rsid w:val="07DB478B"/>
    <w:rsid w:val="0C160487"/>
    <w:rsid w:val="0C4A1EDF"/>
    <w:rsid w:val="0D201426"/>
    <w:rsid w:val="0E1327A4"/>
    <w:rsid w:val="120C17F9"/>
    <w:rsid w:val="12E571C4"/>
    <w:rsid w:val="14847F58"/>
    <w:rsid w:val="14A405FA"/>
    <w:rsid w:val="16227A29"/>
    <w:rsid w:val="165A3666"/>
    <w:rsid w:val="171E6442"/>
    <w:rsid w:val="18771C67"/>
    <w:rsid w:val="19963A2B"/>
    <w:rsid w:val="1D250DAD"/>
    <w:rsid w:val="1F310AF0"/>
    <w:rsid w:val="1F86727A"/>
    <w:rsid w:val="1FD770A4"/>
    <w:rsid w:val="201C373B"/>
    <w:rsid w:val="21303941"/>
    <w:rsid w:val="23A221A9"/>
    <w:rsid w:val="23DB4D34"/>
    <w:rsid w:val="2423153B"/>
    <w:rsid w:val="251E4B43"/>
    <w:rsid w:val="28685CA3"/>
    <w:rsid w:val="2B45623B"/>
    <w:rsid w:val="2BBB08D0"/>
    <w:rsid w:val="2ECD66F1"/>
    <w:rsid w:val="2ECE6548"/>
    <w:rsid w:val="30E35813"/>
    <w:rsid w:val="315A19D8"/>
    <w:rsid w:val="31AA329C"/>
    <w:rsid w:val="33D32081"/>
    <w:rsid w:val="37776CB8"/>
    <w:rsid w:val="3B456F94"/>
    <w:rsid w:val="3BF07AFD"/>
    <w:rsid w:val="3C44609B"/>
    <w:rsid w:val="3D6A38DF"/>
    <w:rsid w:val="3FAE3AD4"/>
    <w:rsid w:val="3FFF47B3"/>
    <w:rsid w:val="409018AF"/>
    <w:rsid w:val="42963B5B"/>
    <w:rsid w:val="42E55B99"/>
    <w:rsid w:val="433C05C9"/>
    <w:rsid w:val="456B2DE8"/>
    <w:rsid w:val="45B002FD"/>
    <w:rsid w:val="45E701C3"/>
    <w:rsid w:val="49D071C0"/>
    <w:rsid w:val="4B5736F5"/>
    <w:rsid w:val="4C8449BE"/>
    <w:rsid w:val="4CBB2D50"/>
    <w:rsid w:val="4F433301"/>
    <w:rsid w:val="50336F84"/>
    <w:rsid w:val="52F932E4"/>
    <w:rsid w:val="550541C2"/>
    <w:rsid w:val="554967A4"/>
    <w:rsid w:val="585A62F1"/>
    <w:rsid w:val="58670CF0"/>
    <w:rsid w:val="58E3481A"/>
    <w:rsid w:val="5909355F"/>
    <w:rsid w:val="593C3F2A"/>
    <w:rsid w:val="5A105AE3"/>
    <w:rsid w:val="5AB83A84"/>
    <w:rsid w:val="5BC16969"/>
    <w:rsid w:val="5E227B93"/>
    <w:rsid w:val="5EB36A3D"/>
    <w:rsid w:val="5EB42036"/>
    <w:rsid w:val="600339F4"/>
    <w:rsid w:val="634265E1"/>
    <w:rsid w:val="64FA3A16"/>
    <w:rsid w:val="65A672FB"/>
    <w:rsid w:val="6621018A"/>
    <w:rsid w:val="676254A4"/>
    <w:rsid w:val="69872FA0"/>
    <w:rsid w:val="69C76F87"/>
    <w:rsid w:val="6BB6338A"/>
    <w:rsid w:val="6E0F5768"/>
    <w:rsid w:val="6F6F0200"/>
    <w:rsid w:val="739C3AEB"/>
    <w:rsid w:val="745A2B8A"/>
    <w:rsid w:val="75734D20"/>
    <w:rsid w:val="76DB492B"/>
    <w:rsid w:val="78E73A5B"/>
    <w:rsid w:val="7A1E3929"/>
    <w:rsid w:val="7A566C2D"/>
    <w:rsid w:val="7A872F24"/>
    <w:rsid w:val="7A9324EA"/>
    <w:rsid w:val="7CB005A1"/>
    <w:rsid w:val="7CDB7433"/>
    <w:rsid w:val="7E7713DD"/>
    <w:rsid w:val="7E8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1742</Words>
  <Characters>1968</Characters>
  <Lines>0</Lines>
  <Paragraphs>0</Paragraphs>
  <TotalTime>9</TotalTime>
  <ScaleCrop>false</ScaleCrop>
  <LinksUpToDate>false</LinksUpToDate>
  <CharactersWithSpaces>1968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2022-08-12T01:57:00Z</dcterms:created>
  <dc:creator>Administrator</dc:creator>
  <cp:lastModifiedBy>Administrator</cp:lastModifiedBy>
  <cp:lastPrinted>2022-08-18T03:26:00Z</cp:lastPrinted>
  <dcterms:modified xsi:type="dcterms:W3CDTF">2022-11-04T03:21:09Z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A82FD4EE2BBB4429A39A3EDA88CE42D2</vt:lpwstr>
  </property>
</Properties>
</file>