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hAnsi="公文小标宋简" w:eastAsia="公文小标宋简" w:cs="公文小标宋简"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sz w:val="44"/>
          <w:szCs w:val="44"/>
        </w:rPr>
        <w:t>第三部分  相关说明</w:t>
      </w:r>
    </w:p>
    <w:p>
      <w:pPr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  <w:lang w:bidi="ar"/>
        </w:rPr>
      </w:pP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一般公共预算支出决算的说明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PO_part3Year1"/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一般公共服务支出14,127万元，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比上年</w:t>
      </w:r>
      <w:r>
        <w:rPr>
          <w:rFonts w:hint="eastAsia" w:ascii="仿宋_GB2312" w:hAnsi="仿宋_GB2312" w:eastAsia="仿宋_GB2312" w:cs="仿宋_GB2312"/>
          <w:sz w:val="32"/>
          <w:szCs w:val="32"/>
        </w:rPr>
        <w:t>减少2,727万元，降幅16.2%。</w:t>
      </w:r>
    </w:p>
    <w:p>
      <w:pPr>
        <w:ind w:firstLine="640" w:firstLineChars="200"/>
        <w:rPr>
          <w:rFonts w:ascii="仿宋_GB2312" w:hAnsi="宋体" w:eastAsia="仿宋_GB2312" w:cs="宋体"/>
          <w:spacing w:val="-6"/>
          <w:kern w:val="32"/>
          <w:sz w:val="32"/>
          <w:szCs w:val="32"/>
        </w:rPr>
      </w:pPr>
      <w:bookmarkStart w:id="1" w:name="PO_part2Yearsm"/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bookmarkEnd w:id="1"/>
      <w:bookmarkStart w:id="2" w:name="PO_part2reason"/>
      <w:r>
        <w:rPr>
          <w:rFonts w:hint="eastAsia" w:ascii="仿宋_GB2312" w:hAnsi="仿宋_GB2312" w:eastAsia="仿宋_GB2312" w:cs="仿宋_GB2312"/>
          <w:sz w:val="32"/>
          <w:szCs w:val="32"/>
        </w:rPr>
        <w:t>公共安全支出21,305万元，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比上年</w:t>
      </w:r>
      <w:r>
        <w:rPr>
          <w:rFonts w:hint="eastAsia" w:ascii="仿宋_GB2312" w:hAnsi="仿宋_GB2312" w:eastAsia="仿宋_GB2312" w:cs="仿宋_GB2312"/>
          <w:sz w:val="32"/>
          <w:szCs w:val="32"/>
        </w:rPr>
        <w:t>减少3,446万元，降幅13.9%。</w:t>
      </w:r>
      <w:bookmarkEnd w:id="2"/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bookmarkStart w:id="3" w:name="PO_part2reason3yy"/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教育支出30,522万元，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比上年</w:t>
      </w:r>
      <w:r>
        <w:rPr>
          <w:rFonts w:hint="eastAsia" w:ascii="仿宋_GB2312" w:hAnsi="仿宋_GB2312" w:eastAsia="仿宋_GB2312" w:cs="仿宋_GB2312"/>
          <w:sz w:val="32"/>
          <w:szCs w:val="32"/>
        </w:rPr>
        <w:t>减少16,565万元，降幅35.2%。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科学技术支出387万元，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减少4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475万元，降幅92%，主要是受新冠疫情及经济环境影响，满足发放条件的产业发展扶持资金减少。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文化旅游体育与传媒支出2,024万元，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减少1,056万元，降幅34.3%，主要是受新冠疫情影响公共文化活动开展数量较往年大幅减少。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社会保障和就业支出16,363万元，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减少4,224万元，降幅20.5%。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卫生健康支出17,478万元，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增加3,793万元，增幅27.7%，主要是新冠疫情期间抗疫支出、医院设备购置、住院大楼款项转支出等增加的支出。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节能环保支出6,425万元，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增加2,371万元，增幅58.5%，主要是2021年一并扣缴2020与2021年度生态补偿资金支出。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城乡社区支出7,949万元，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减少2,029万元，降幅20.3%，主要是因部分项目未通过验收，2021年中山（石岐）总部经济区相关费用未能全部支付。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农林水支出324万元，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减少807万元，降幅71.4%，主要是政策性扶贫资金支出的减少。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资源勘探信息等支出1万元，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减少20万元，降幅95.2%，主要是上级专项转移支付补助经费支出的减少。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住房保障支出2万元，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减少3万元，降幅60%，主要是上级专项转移支付补助经费支出的减少。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粮油物资储备支出341万元，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增加5万元，增幅1.5%。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灾害防治及应急管理支出支出13万元，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减少7万元，降幅35%，主要是上级专项转移支付补助经费支出的减少。</w:t>
      </w:r>
    </w:p>
    <w:p>
      <w:pPr>
        <w:pStyle w:val="4"/>
        <w:adjustRightInd w:val="0"/>
        <w:spacing w:line="480" w:lineRule="auto"/>
        <w:ind w:firstLine="739" w:firstLineChars="230"/>
        <w:rPr>
          <w:rFonts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二、举借债务情况</w:t>
      </w:r>
    </w:p>
    <w:p>
      <w:pPr>
        <w:rPr>
          <w:rFonts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 xml:space="preserve"> 2021年全街道新增债券额度5,000万元，全部为地方政府专项债券。具体安排用于广东省中山市石岐街道生活污水治理项目5,000万元。年内已全部支出完毕。此外，2021年上解市财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政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局债券发行费用4万元。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三、一般公共预算“三公”经费决算执行情况。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宋体" w:eastAsia="仿宋_GB2312" w:cs="宋体"/>
          <w:spacing w:val="-6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2021年汇总全街道行政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事业单位“三公”经费财政拨款总额173万元，其中因公出国（境）费用1万元、公务接待费5万元、公务用车费167万元（包括：公务用车运行维护费167万元和公务用车购置费0万元）。因公出国（境）费用同比增加1万元，主要是2021年因统战联谊需要到澳门出差费用；公务接待费同比增加4万元，增幅400%，主要是2021年因招商引资、扶贫交流、港澳统战联谊等专项工作需要，公务接待有所增加；公务用车运行维护费同比增加89万元，增幅114.1%，主要是2021年公安专项行动增加和疫情防控需要，公务用车频次增加，运行维护费随之增加。街道已按照有关规定推进预算公开，加大“三公”经费信息公开力度，进一步提高部门预算透明度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四、预算绩效工作推进情况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16" w:firstLineChars="200"/>
        <w:jc w:val="left"/>
        <w:textAlignment w:val="auto"/>
        <w:rPr>
          <w:rFonts w:hint="eastAsia" w:ascii="仿宋_GB2312" w:hAnsi="黑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spacing w:val="-6"/>
          <w:kern w:val="0"/>
          <w:sz w:val="32"/>
          <w:szCs w:val="32"/>
        </w:rPr>
        <w:t>为贯彻落实中央和省、市关于“全面实施绩效管理”的重要战略部署，加快建立预算绩效管理长效机制及科学、合理的绩效评价管理体系，全面提升街道预算绩效管理水平及财政资金使用效益，我街道印发了《中山市石岐街道实施预算绩效管理推进工作方案》《中山市石岐街道2021年度全面实施预算绩效管理工作计划》</w:t>
      </w:r>
      <w:r>
        <w:rPr>
          <w:rFonts w:hint="eastAsia" w:ascii="仿宋_GB2312" w:hAnsi="黑体" w:eastAsia="仿宋_GB2312" w:cs="宋体"/>
          <w:spacing w:val="-6"/>
          <w:kern w:val="0"/>
          <w:sz w:val="32"/>
          <w:szCs w:val="32"/>
          <w:lang w:eastAsia="zh-CN"/>
        </w:rPr>
        <w:t>，将项目</w:t>
      </w:r>
      <w:r>
        <w:rPr>
          <w:rFonts w:hint="eastAsia" w:ascii="仿宋_GB2312" w:hAnsi="黑体" w:eastAsia="仿宋_GB2312" w:cs="宋体"/>
          <w:spacing w:val="-6"/>
          <w:kern w:val="0"/>
          <w:sz w:val="32"/>
          <w:szCs w:val="32"/>
        </w:rPr>
        <w:t>事前预算绩效评审</w:t>
      </w:r>
      <w:r>
        <w:rPr>
          <w:rFonts w:hint="eastAsia" w:ascii="仿宋_GB2312" w:hAnsi="黑体" w:eastAsia="仿宋_GB2312" w:cs="宋体"/>
          <w:spacing w:val="-6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黑体" w:eastAsia="仿宋_GB2312" w:cs="宋体"/>
          <w:spacing w:val="-6"/>
          <w:kern w:val="0"/>
          <w:sz w:val="32"/>
          <w:szCs w:val="32"/>
        </w:rPr>
        <w:t>绩效目标评审与2022年度项目入库及预算编制工作同步推进。</w:t>
      </w:r>
      <w:r>
        <w:rPr>
          <w:rFonts w:hint="eastAsia" w:ascii="仿宋_GB2312" w:hAnsi="黑体" w:eastAsia="仿宋_GB2312" w:cs="宋体"/>
          <w:spacing w:val="-6"/>
          <w:kern w:val="0"/>
          <w:sz w:val="32"/>
          <w:szCs w:val="32"/>
          <w:lang w:eastAsia="zh-CN"/>
        </w:rPr>
        <w:t>此外</w:t>
      </w:r>
      <w:r>
        <w:rPr>
          <w:rFonts w:hint="eastAsia" w:ascii="仿宋_GB2312" w:hAnsi="黑体" w:eastAsia="仿宋_GB2312" w:cs="宋体"/>
          <w:spacing w:val="-6"/>
          <w:kern w:val="0"/>
          <w:sz w:val="32"/>
          <w:szCs w:val="32"/>
        </w:rPr>
        <w:t>，我街道已经基本完成了预算绩效事后评价工作。下一步将充分运用绩效评价结果，加快推进建立绩效评价结果与项目预算安排及政策调整“双挂钩”机制的落实，将绩效评价的结果作为调整预算安排或相关支出政策的重要依据。同时强化绩效信息公开，及时督促各预算单位整改绩效评价反应的问题，形成反馈、整改、提升绩效的良性循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MS Minch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264"/>
    <w:rsid w:val="001C361E"/>
    <w:rsid w:val="001C6E81"/>
    <w:rsid w:val="0024636A"/>
    <w:rsid w:val="00281AB0"/>
    <w:rsid w:val="003B3AAB"/>
    <w:rsid w:val="003E76C9"/>
    <w:rsid w:val="006E2725"/>
    <w:rsid w:val="006E4210"/>
    <w:rsid w:val="00AE3488"/>
    <w:rsid w:val="00B91210"/>
    <w:rsid w:val="00CA45B4"/>
    <w:rsid w:val="00E373C3"/>
    <w:rsid w:val="00FC676A"/>
    <w:rsid w:val="01D166CA"/>
    <w:rsid w:val="01E230F8"/>
    <w:rsid w:val="02E66CC1"/>
    <w:rsid w:val="042A6DF9"/>
    <w:rsid w:val="0491658C"/>
    <w:rsid w:val="06DC2762"/>
    <w:rsid w:val="091A3E80"/>
    <w:rsid w:val="0C2E0FDF"/>
    <w:rsid w:val="0DCE0914"/>
    <w:rsid w:val="0E8233FB"/>
    <w:rsid w:val="0ED7096D"/>
    <w:rsid w:val="0FBD4DDA"/>
    <w:rsid w:val="0FCD1D3A"/>
    <w:rsid w:val="0FF97A78"/>
    <w:rsid w:val="11A318D2"/>
    <w:rsid w:val="12856F30"/>
    <w:rsid w:val="17433A6D"/>
    <w:rsid w:val="186A20D3"/>
    <w:rsid w:val="18841C5C"/>
    <w:rsid w:val="1B4836E5"/>
    <w:rsid w:val="1DE45745"/>
    <w:rsid w:val="1E771E56"/>
    <w:rsid w:val="1EC25DEA"/>
    <w:rsid w:val="216E3C45"/>
    <w:rsid w:val="21E5703E"/>
    <w:rsid w:val="220A59D5"/>
    <w:rsid w:val="2350593E"/>
    <w:rsid w:val="23C50B5C"/>
    <w:rsid w:val="23DE4C53"/>
    <w:rsid w:val="243D4691"/>
    <w:rsid w:val="259B6A23"/>
    <w:rsid w:val="26066C2B"/>
    <w:rsid w:val="26345CA2"/>
    <w:rsid w:val="27747605"/>
    <w:rsid w:val="27F27AE7"/>
    <w:rsid w:val="28C361DA"/>
    <w:rsid w:val="2BE47264"/>
    <w:rsid w:val="2C943F90"/>
    <w:rsid w:val="2D3E58B9"/>
    <w:rsid w:val="2DCD259B"/>
    <w:rsid w:val="2F7A6607"/>
    <w:rsid w:val="2FAC77AE"/>
    <w:rsid w:val="2FE72982"/>
    <w:rsid w:val="2FEB49B8"/>
    <w:rsid w:val="3000737D"/>
    <w:rsid w:val="3131529B"/>
    <w:rsid w:val="32087004"/>
    <w:rsid w:val="325B0EF9"/>
    <w:rsid w:val="32F02757"/>
    <w:rsid w:val="339A6061"/>
    <w:rsid w:val="35465D04"/>
    <w:rsid w:val="359165CA"/>
    <w:rsid w:val="372D1724"/>
    <w:rsid w:val="3793579B"/>
    <w:rsid w:val="38934233"/>
    <w:rsid w:val="396B3C7C"/>
    <w:rsid w:val="3AFE66E2"/>
    <w:rsid w:val="3B81188E"/>
    <w:rsid w:val="3C676D69"/>
    <w:rsid w:val="3C7D5EDD"/>
    <w:rsid w:val="3CDC5CCD"/>
    <w:rsid w:val="3D4D330D"/>
    <w:rsid w:val="40B0262C"/>
    <w:rsid w:val="4312722A"/>
    <w:rsid w:val="43C0557B"/>
    <w:rsid w:val="45F50992"/>
    <w:rsid w:val="48EA3958"/>
    <w:rsid w:val="4A450B7D"/>
    <w:rsid w:val="4AC813A3"/>
    <w:rsid w:val="4AD738A9"/>
    <w:rsid w:val="4B4B1EE6"/>
    <w:rsid w:val="4BAF4A37"/>
    <w:rsid w:val="4CCC2C06"/>
    <w:rsid w:val="4D50641F"/>
    <w:rsid w:val="4E5A39BF"/>
    <w:rsid w:val="4F262599"/>
    <w:rsid w:val="4FA8082B"/>
    <w:rsid w:val="50BF41AB"/>
    <w:rsid w:val="51004B39"/>
    <w:rsid w:val="512A268E"/>
    <w:rsid w:val="516539A1"/>
    <w:rsid w:val="51963BE2"/>
    <w:rsid w:val="51CF5B8F"/>
    <w:rsid w:val="52B361C4"/>
    <w:rsid w:val="53696534"/>
    <w:rsid w:val="539362D7"/>
    <w:rsid w:val="540049E6"/>
    <w:rsid w:val="543C1B5E"/>
    <w:rsid w:val="551D0A46"/>
    <w:rsid w:val="55391CDE"/>
    <w:rsid w:val="55A151A3"/>
    <w:rsid w:val="55FE16EB"/>
    <w:rsid w:val="57E129B3"/>
    <w:rsid w:val="58636779"/>
    <w:rsid w:val="5A9C5360"/>
    <w:rsid w:val="5C5D1AD9"/>
    <w:rsid w:val="5D97284E"/>
    <w:rsid w:val="5E971570"/>
    <w:rsid w:val="5EAD5D0B"/>
    <w:rsid w:val="5F895D45"/>
    <w:rsid w:val="603F5F81"/>
    <w:rsid w:val="60666565"/>
    <w:rsid w:val="62E779CC"/>
    <w:rsid w:val="630C2E04"/>
    <w:rsid w:val="64517AFC"/>
    <w:rsid w:val="652858F5"/>
    <w:rsid w:val="66913E69"/>
    <w:rsid w:val="66BA67C2"/>
    <w:rsid w:val="67145271"/>
    <w:rsid w:val="67E61F35"/>
    <w:rsid w:val="67F062AB"/>
    <w:rsid w:val="67FA33AD"/>
    <w:rsid w:val="693A54C3"/>
    <w:rsid w:val="69C35281"/>
    <w:rsid w:val="6A2651A1"/>
    <w:rsid w:val="6BB1223D"/>
    <w:rsid w:val="6E6A745C"/>
    <w:rsid w:val="6F125D54"/>
    <w:rsid w:val="70CB373B"/>
    <w:rsid w:val="71C40577"/>
    <w:rsid w:val="71E5645E"/>
    <w:rsid w:val="733E73F8"/>
    <w:rsid w:val="74092E31"/>
    <w:rsid w:val="743E1485"/>
    <w:rsid w:val="76CF332D"/>
    <w:rsid w:val="771E52B0"/>
    <w:rsid w:val="773C4B6F"/>
    <w:rsid w:val="774A4972"/>
    <w:rsid w:val="7768516E"/>
    <w:rsid w:val="78064CBC"/>
    <w:rsid w:val="78323FFC"/>
    <w:rsid w:val="785B121C"/>
    <w:rsid w:val="787B08E0"/>
    <w:rsid w:val="78894B33"/>
    <w:rsid w:val="79C63141"/>
    <w:rsid w:val="7A9004F5"/>
    <w:rsid w:val="7A9F6EBA"/>
    <w:rsid w:val="7C02271F"/>
    <w:rsid w:val="7C0D6913"/>
    <w:rsid w:val="7CC07DA1"/>
    <w:rsid w:val="7D2B1882"/>
    <w:rsid w:val="7D357CBF"/>
    <w:rsid w:val="7DBB1F79"/>
    <w:rsid w:val="7E15361D"/>
    <w:rsid w:val="7F6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市财政局</Company>
  <Pages>3</Pages>
  <Words>192</Words>
  <Characters>1101</Characters>
  <Lines>9</Lines>
  <Paragraphs>2</Paragraphs>
  <TotalTime>2</TotalTime>
  <ScaleCrop>false</ScaleCrop>
  <LinksUpToDate>false</LinksUpToDate>
  <CharactersWithSpaces>1291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石岐总值班室（23328546）</cp:lastModifiedBy>
  <dcterms:modified xsi:type="dcterms:W3CDTF">2022-10-18T11:22:25Z</dcterms:modified>
  <dc:title>第三部分  相关说明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667DA7A74EC74026895D1EFCFA4E3E4F</vt:lpwstr>
  </property>
</Properties>
</file>