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15" w:beforeAutospacing="0" w:after="0" w:afterAutospacing="0"/>
        <w:ind w:left="0" w:right="0" w:firstLine="0"/>
        <w:jc w:val="center"/>
        <w:rPr>
          <w:rFonts w:ascii="微软雅黑" w:hAnsi="微软雅黑" w:eastAsia="微软雅黑" w:cs="微软雅黑"/>
          <w:b/>
          <w:bCs/>
          <w:i w:val="0"/>
          <w:iCs w:val="0"/>
          <w:caps w:val="0"/>
          <w:color w:val="0069AE"/>
          <w:spacing w:val="0"/>
          <w:sz w:val="45"/>
          <w:szCs w:val="45"/>
        </w:rPr>
      </w:pPr>
      <w:r>
        <w:rPr>
          <w:rFonts w:hint="eastAsia" w:ascii="微软雅黑" w:hAnsi="微软雅黑" w:eastAsia="微软雅黑" w:cs="微软雅黑"/>
          <w:b/>
          <w:bCs/>
          <w:i w:val="0"/>
          <w:iCs w:val="0"/>
          <w:caps w:val="0"/>
          <w:color w:val="0069AE"/>
          <w:spacing w:val="0"/>
          <w:sz w:val="45"/>
          <w:szCs w:val="45"/>
          <w:bdr w:val="none" w:color="auto" w:sz="0" w:space="0"/>
        </w:rPr>
        <w:t>《中华人民共和国个体工商户条例》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0"/>
        <w:jc w:val="center"/>
        <w:rPr>
          <w:rFonts w:hint="eastAsia" w:ascii="微软雅黑" w:hAnsi="微软雅黑" w:eastAsia="微软雅黑" w:cs="微软雅黑"/>
          <w:i w:val="0"/>
          <w:iCs w:val="0"/>
          <w:caps w:val="0"/>
          <w:color w:val="0069AE"/>
          <w:spacing w:val="0"/>
          <w:sz w:val="37"/>
          <w:szCs w:val="37"/>
        </w:rPr>
      </w:pPr>
      <w:r>
        <w:rPr>
          <w:rFonts w:hint="eastAsia" w:ascii="微软雅黑" w:hAnsi="微软雅黑" w:eastAsia="微软雅黑" w:cs="微软雅黑"/>
          <w:i w:val="0"/>
          <w:iCs w:val="0"/>
          <w:caps w:val="0"/>
          <w:color w:val="0069AE"/>
          <w:spacing w:val="0"/>
          <w:sz w:val="37"/>
          <w:szCs w:val="37"/>
          <w:bdr w:val="none" w:color="auto" w:sz="0" w:space="0"/>
        </w:rPr>
        <w:t>中华人民共和国国务院令〔2016〕第666号</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第一条为了保护个体工商户的合法权益，鼓励、支持和引导个体工商户健康发展，加强对个体工商户的监督、管理，发挥其在经济社会发展和扩大就业中的重要作用，制定本条例。 第二条有经营能力的公民，依照本条例规定经工商行政管理部门登记，从事工商业经营的，为个体工商户。 个体工商户可以个人经营，也可以家庭经营。 个体工商户的合法权益受法律保护，任何单位和个人不得侵害。 第三条县、自治县、不设区的市、市辖区工商行政管理部门为个体工商户的登记机关（以下简称登记机关）。登记机关按照国务院工商行政管理部门的规定，可以委托其下属工商行政管理所办理个体工商户登记。 第四条国家对个体工商户实行市场平等准入、公平待遇的原则。 申请办理个体工商户登记，申请登记的经营范围不属于法律、行政法规禁止进入的行业的，登记机关应当依法予以登记。 第五条工商行政管理部门和县级以上人民政府其他有关部门应当依法对个体工商户实行监督和管理。 个体工商户从事经营活动，应当遵守法律、法规，遵守社会公德、商业道德，诚实守信，接受政府及其有关部门依法实施的监督。 第六条地方各级人民政府和县级以上人民政府有关部门应当采取措施，在经营场所、创业和职业技能培训、职业技能鉴定、技术创新、参加社会保险等方面，为个体工商户提供支持、便利和信息咨询等服务。 第七条依法成立的个体劳动者协会在工商行政管理部门指导下，为个体工商户提供服务，维护个体工商户合法权益，引导个体工商户诚信自律。 个体工商户自愿加入个体劳动者协会。 第八条申请登记为个体工商户，应当向经营场所所在地登记机关申请注册登记。申请人应当提交登记申请书、身份证明和经营场所证明。 个体工商户登记事项包括经营者姓名和住所、组成形式、经营范围、经营场所。个体工商户使用名称的，名称作为登记事项。 第九条登记机关对申请材料依法审查后，按照下列规定办理： （一）申请材料齐全、符合法定形式的，当场予以登记；申请材料不齐全或者不符合法定形式要求的，当场告知申请人需要补正的全部内容； （二）需要对申请材料的实质性内容进行核实的，依法进行核查，并自受理申请之日起15日内作出是否予以登记的决定； （三）不符合个体工商户登记条件的，不予登记并书面告知申请人，说明理由，告知申请人有权依法申请行政复议、提起行政诉讼。 予以注册登记的，登记机关应当自登记之日起10日内发给营业执照。 国家推行电子营业执照。电子营业执照与纸质营业执照具有同等法律效力。 第十条个体工商户登记事项变更的，应当向登记机关申请办理变更登记。 个体工商户变更经营者的，应当在办理注销登记后，由新的经营者重新申请办理注册登记。家庭经营的个体工商户在家庭成员间变更经营者的，依照前款规定办理变更手续。 第十一条申请注册登记或者变更登记的登记事项属于依法须取得行政许可的，应当向登记机关提交许可证明。 第十二条个体工商户不再从事经营活动的，应当到登记机关办理注销登记。 第十三条个体工商户办理登记，应当按照国家有关规定缴纳登记费。（本条被删除） 第十四条个体工商户应当于每年1月1日至6月30日，向登记机关报送年度报告。 个体工商户应当对其年度报告的真实性、合法性负责。 个体工商户年度报告办法由国务院工商行政管理部门制定。 第十五条登记机关将未按照规定履行年度报告义务的个体工商户载入经营异常名录，并在企业信用信息公示系统上向社会公示。 第十六条登记机关接收个体工商户年度报告和抽查不得收取任何费用。 第十七条登记机关和有关行政机关应当在其政府网站和办公场所，以便于公众知晓的方式公布个体工商户申请登记和行政许可的条件、程序、期限、需要提交的全部材料目录和收费标准等事项。 登记机关和有关行政机关应当为申请人申请行政许可和办理登记提供指导和查询服务。 第十八条个体工商户在领取营业执照后，应当依法办理税务登记。 个体工商户税务登记内容发生变化的，应当依法办理变更或者注销税务登记。 第十九条任何部门和单位不得向个体工商户集资、摊派，不得强行要求个体工商户提供赞助或者接受有偿服务。 第二十条地方各级人民政府应当将个体工商户所需生产经营场地纳入城乡建设规划，统筹安排。 个体工商户经批准使用的经营场地，任何单位和个人不得侵占。 第二十一条个体工商户可以凭营业执照及税务登记证明，依法在银行或者其他金融机构开立账户，申请贷款。 金融机构应当改进和完善金融服务，为个体工商户申请贷款提供便利。 第二十二条个体工商户可以根据经营需要招用从业人员。 个体工商户应当依法与招用的从业人员订立劳动合同，履行法律、行政法规规定和合同约定的义务，不得侵害从业人员的合法权益。 第二十三条个体工商户提交虚假材料骗取注册登记，或者伪造、涂改、出租、出借、转让营业执照的，由登记机关责令改正，处4000元以下的罚款；情节严重的，撤销注册登记或者吊销营业执照。 第二十四条个体工商户登记事项变更，未办理变更登记的，由登记机关责令改正，处1500元以下的罚款；情节严重的，吊销营业执照。 个体工商户未办理税务登记的，由税务机关责令限期改正；逾期未改正的，经税务机关提请，由登记机关吊销营业执照。 第二十五条在个体工商户营业执照有效期内，有关行政机关依法吊销、撤销个体工商户的行政许可，或者行政许可有效期届满的，应当自吊销、撤销行政许可或者行政许可有效期届满之日起5个工作日内通知登记机关，由登记机关撤销注册登记或者吊销营业执照，或者责令当事人依法办理变更登记。 第二十六条工商行政管理部门以及其他有关部门应当加强个体工商户管理工作的信息交流，逐步建立个体工商户管理信息系统。 第二十七条工商行政管理部门以及其他有关部门的工作人员，滥用职权、徇私舞弊、收受贿赂或者侵害个体工商户合法权益的，依法给予处分；构成犯罪的，依法追究刑事责任。 第二十八条香港特别行政区、澳门特别行政区永久性居民中的中国公民，台湾地区居民可以按照国家有关规定，申请登记为个体工商户。 第二十九条个体工商户申请转变为企业组织形式，符合法定条件的，登记机关和有关行政机关应当为其提供便利。 第三十条无固定经营场所摊贩的管理办法，由省、自治区、直辖市人民政府根据当地实际情况规定。 第三十一条本条例自2011年11月1日起施行。1987年8月5日国务院发布的《城乡个体工商户管理暂行条例》同时废止。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Yzk1NzU5NTVkMjI1MDFlNTkxZjQwYzJmZjg4MDkifQ=="/>
  </w:docVars>
  <w:rsids>
    <w:rsidRoot w:val="38C4513D"/>
    <w:rsid w:val="38C45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中山市东凤镇人民政府</Company>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2022-08-25T03:17:00Z</dcterms:created>
  <dc:creator>彭注成</dc:creator>
  <cp:lastModifiedBy>彭注成</cp:lastModifiedBy>
  <dcterms:modified xsi:type="dcterms:W3CDTF">2022-08-25T03:17:50Z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8891444B27194081A71026B9764D2BCF</vt:lpwstr>
  </property>
</Properties>
</file>